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4B1E" w14:textId="7EBE9C17"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r>
        <w:rPr>
          <w:b/>
          <w:sz w:val="36"/>
          <w:szCs w:val="36"/>
        </w:rPr>
        <w:t xml:space="preserve">Stillstand und Fortschritt </w:t>
      </w:r>
    </w:p>
    <w:p w14:paraId="7F1BA2F9" w14:textId="77777777"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Pr>
          <w:b/>
          <w:sz w:val="36"/>
          <w:szCs w:val="36"/>
        </w:rPr>
        <w:t xml:space="preserve"> Energie-Wende </w:t>
      </w:r>
    </w:p>
    <w:p w14:paraId="62482C02" w14:textId="58C1C650"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Pr>
          <w:b/>
          <w:sz w:val="28"/>
          <w:szCs w:val="28"/>
        </w:rPr>
        <w:t xml:space="preserve"> (</w:t>
      </w:r>
      <w:r w:rsidR="00622D95">
        <w:rPr>
          <w:b/>
          <w:sz w:val="28"/>
          <w:szCs w:val="28"/>
        </w:rPr>
        <w:t>Stand:</w:t>
      </w:r>
      <w:r>
        <w:rPr>
          <w:b/>
          <w:sz w:val="28"/>
          <w:szCs w:val="28"/>
        </w:rPr>
        <w:t xml:space="preserve"> Januar 2023)</w:t>
      </w:r>
    </w:p>
    <w:p w14:paraId="2A0A2278" w14:textId="4AFE0ABA" w:rsidR="006112B7" w:rsidRPr="006112B7" w:rsidRDefault="006112B7">
      <w:pPr>
        <w:rPr>
          <w:b/>
          <w:color w:val="538135" w:themeColor="accent6" w:themeShade="BF"/>
          <w:sz w:val="26"/>
          <w:szCs w:val="26"/>
        </w:rPr>
      </w:pPr>
      <w:r w:rsidRPr="00531CAE">
        <w:rPr>
          <w:b/>
          <w:color w:val="538135" w:themeColor="accent6" w:themeShade="BF"/>
          <w:sz w:val="26"/>
          <w:szCs w:val="26"/>
          <w:u w:val="single"/>
        </w:rPr>
        <w:t>EINLEITUNG</w:t>
      </w:r>
      <w:r w:rsidR="00160978" w:rsidRPr="006112B7">
        <w:rPr>
          <w:b/>
          <w:color w:val="538135" w:themeColor="accent6" w:themeShade="BF"/>
          <w:sz w:val="26"/>
          <w:szCs w:val="26"/>
        </w:rPr>
        <w:t xml:space="preserve">: </w:t>
      </w:r>
      <w:r w:rsidR="00A538D7" w:rsidRPr="006112B7">
        <w:rPr>
          <w:b/>
          <w:color w:val="538135" w:themeColor="accent6" w:themeShade="BF"/>
          <w:sz w:val="26"/>
          <w:szCs w:val="26"/>
        </w:rPr>
        <w:t xml:space="preserve">Im Januar hat es </w:t>
      </w:r>
      <w:r w:rsidR="00BF496F">
        <w:rPr>
          <w:b/>
          <w:color w:val="538135" w:themeColor="accent6" w:themeShade="BF"/>
          <w:sz w:val="26"/>
          <w:szCs w:val="26"/>
        </w:rPr>
        <w:t xml:space="preserve">in </w:t>
      </w:r>
      <w:r w:rsidR="00E36962">
        <w:rPr>
          <w:b/>
          <w:color w:val="538135" w:themeColor="accent6" w:themeShade="BF"/>
          <w:sz w:val="26"/>
          <w:szCs w:val="26"/>
        </w:rPr>
        <w:t xml:space="preserve">Deutschland </w:t>
      </w:r>
      <w:r w:rsidR="00A538D7" w:rsidRPr="006112B7">
        <w:rPr>
          <w:b/>
          <w:color w:val="538135" w:themeColor="accent6" w:themeShade="BF"/>
          <w:sz w:val="26"/>
          <w:szCs w:val="26"/>
        </w:rPr>
        <w:t>keine Ereignisse gegeben, die de</w:t>
      </w:r>
      <w:r w:rsidR="00160978" w:rsidRPr="006112B7">
        <w:rPr>
          <w:b/>
          <w:color w:val="538135" w:themeColor="accent6" w:themeShade="BF"/>
          <w:sz w:val="26"/>
          <w:szCs w:val="26"/>
        </w:rPr>
        <w:t>n</w:t>
      </w:r>
      <w:r w:rsidR="00A538D7" w:rsidRPr="006112B7">
        <w:rPr>
          <w:b/>
          <w:color w:val="538135" w:themeColor="accent6" w:themeShade="BF"/>
          <w:sz w:val="26"/>
          <w:szCs w:val="26"/>
        </w:rPr>
        <w:t xml:space="preserve"> Weg hin </w:t>
      </w:r>
      <w:r w:rsidR="00C961C2" w:rsidRPr="006112B7">
        <w:rPr>
          <w:b/>
          <w:color w:val="538135" w:themeColor="accent6" w:themeShade="BF"/>
          <w:sz w:val="26"/>
          <w:szCs w:val="26"/>
        </w:rPr>
        <w:t>zur</w:t>
      </w:r>
      <w:r w:rsidR="00A538D7" w:rsidRPr="006112B7">
        <w:rPr>
          <w:b/>
          <w:color w:val="538135" w:themeColor="accent6" w:themeShade="BF"/>
          <w:sz w:val="26"/>
          <w:szCs w:val="26"/>
        </w:rPr>
        <w:t xml:space="preserve"> Energie</w:t>
      </w:r>
      <w:r w:rsidR="0047025E">
        <w:rPr>
          <w:b/>
          <w:color w:val="538135" w:themeColor="accent6" w:themeShade="BF"/>
          <w:sz w:val="26"/>
          <w:szCs w:val="26"/>
        </w:rPr>
        <w:t>-W</w:t>
      </w:r>
      <w:r w:rsidR="00A538D7" w:rsidRPr="006112B7">
        <w:rPr>
          <w:b/>
          <w:color w:val="538135" w:themeColor="accent6" w:themeShade="BF"/>
          <w:sz w:val="26"/>
          <w:szCs w:val="26"/>
        </w:rPr>
        <w:t>ende</w:t>
      </w:r>
      <w:r w:rsidR="00160978" w:rsidRPr="006112B7">
        <w:rPr>
          <w:b/>
          <w:color w:val="538135" w:themeColor="accent6" w:themeShade="BF"/>
          <w:sz w:val="26"/>
          <w:szCs w:val="26"/>
        </w:rPr>
        <w:t xml:space="preserve"> </w:t>
      </w:r>
      <w:r w:rsidR="00160978" w:rsidRPr="00BA0CAA">
        <w:rPr>
          <w:b/>
          <w:color w:val="538135" w:themeColor="accent6" w:themeShade="BF"/>
          <w:sz w:val="26"/>
          <w:szCs w:val="26"/>
          <w:u w:val="single"/>
        </w:rPr>
        <w:t>deutlich</w:t>
      </w:r>
      <w:r w:rsidR="00160978" w:rsidRPr="006112B7">
        <w:rPr>
          <w:b/>
          <w:color w:val="538135" w:themeColor="accent6" w:themeShade="BF"/>
          <w:sz w:val="26"/>
          <w:szCs w:val="26"/>
        </w:rPr>
        <w:t xml:space="preserve"> </w:t>
      </w:r>
      <w:r w:rsidR="00A538D7" w:rsidRPr="006112B7">
        <w:rPr>
          <w:b/>
          <w:color w:val="538135" w:themeColor="accent6" w:themeShade="BF"/>
          <w:sz w:val="26"/>
          <w:szCs w:val="26"/>
        </w:rPr>
        <w:t>beschleunigen könnten.</w:t>
      </w:r>
      <w:r w:rsidR="00160978" w:rsidRPr="006112B7">
        <w:rPr>
          <w:b/>
          <w:color w:val="538135" w:themeColor="accent6" w:themeShade="BF"/>
          <w:sz w:val="26"/>
          <w:szCs w:val="26"/>
        </w:rPr>
        <w:t xml:space="preserve"> </w:t>
      </w:r>
      <w:r w:rsidR="00A538D7" w:rsidRPr="006112B7">
        <w:rPr>
          <w:b/>
          <w:color w:val="538135" w:themeColor="accent6" w:themeShade="BF"/>
          <w:sz w:val="26"/>
          <w:szCs w:val="26"/>
        </w:rPr>
        <w:t>Deshalb</w:t>
      </w:r>
      <w:r w:rsidR="0063370B">
        <w:rPr>
          <w:b/>
          <w:color w:val="538135" w:themeColor="accent6" w:themeShade="BF"/>
          <w:sz w:val="26"/>
          <w:szCs w:val="26"/>
        </w:rPr>
        <w:t xml:space="preserve"> widmet </w:t>
      </w:r>
      <w:r w:rsidR="00A538D7" w:rsidRPr="006112B7">
        <w:rPr>
          <w:b/>
          <w:color w:val="538135" w:themeColor="accent6" w:themeShade="BF"/>
          <w:sz w:val="26"/>
          <w:szCs w:val="26"/>
        </w:rPr>
        <w:t>sich dieser Bericht einer Rückschau</w:t>
      </w:r>
      <w:r w:rsidR="00BF496F">
        <w:rPr>
          <w:b/>
          <w:color w:val="538135" w:themeColor="accent6" w:themeShade="BF"/>
          <w:sz w:val="26"/>
          <w:szCs w:val="26"/>
        </w:rPr>
        <w:t xml:space="preserve"> auf die </w:t>
      </w:r>
      <w:r w:rsidR="00BF496F" w:rsidRPr="0014555C">
        <w:rPr>
          <w:b/>
          <w:color w:val="538135" w:themeColor="accent6" w:themeShade="BF"/>
          <w:sz w:val="26"/>
          <w:szCs w:val="26"/>
          <w:u w:val="single"/>
        </w:rPr>
        <w:t>deutsche</w:t>
      </w:r>
      <w:r w:rsidR="00BF496F">
        <w:rPr>
          <w:b/>
          <w:color w:val="538135" w:themeColor="accent6" w:themeShade="BF"/>
          <w:sz w:val="26"/>
          <w:szCs w:val="26"/>
        </w:rPr>
        <w:t xml:space="preserve"> Energiepolitik im </w:t>
      </w:r>
      <w:r w:rsidR="00E36962">
        <w:rPr>
          <w:b/>
          <w:color w:val="538135" w:themeColor="accent6" w:themeShade="BF"/>
          <w:sz w:val="26"/>
          <w:szCs w:val="26"/>
        </w:rPr>
        <w:t xml:space="preserve">schwierigen </w:t>
      </w:r>
      <w:r w:rsidR="00BF496F">
        <w:rPr>
          <w:b/>
          <w:color w:val="538135" w:themeColor="accent6" w:themeShade="BF"/>
          <w:sz w:val="26"/>
          <w:szCs w:val="26"/>
        </w:rPr>
        <w:t xml:space="preserve">Jahr </w:t>
      </w:r>
      <w:r w:rsidR="00A538D7" w:rsidRPr="006112B7">
        <w:rPr>
          <w:b/>
          <w:color w:val="538135" w:themeColor="accent6" w:themeShade="BF"/>
          <w:sz w:val="26"/>
          <w:szCs w:val="26"/>
        </w:rPr>
        <w:t>2022.</w:t>
      </w:r>
      <w:r w:rsidR="008664A2" w:rsidRPr="006112B7">
        <w:rPr>
          <w:b/>
          <w:color w:val="538135" w:themeColor="accent6" w:themeShade="BF"/>
          <w:sz w:val="26"/>
          <w:szCs w:val="26"/>
        </w:rPr>
        <w:t xml:space="preserve"> Erfreulicherweise </w:t>
      </w:r>
      <w:r w:rsidR="00A538D7" w:rsidRPr="006112B7">
        <w:rPr>
          <w:b/>
          <w:color w:val="538135" w:themeColor="accent6" w:themeShade="BF"/>
          <w:sz w:val="26"/>
          <w:szCs w:val="26"/>
        </w:rPr>
        <w:t>ist eben ein umfassender Bericht</w:t>
      </w:r>
      <w:r w:rsidR="00BE7AAD" w:rsidRPr="006112B7">
        <w:rPr>
          <w:b/>
          <w:color w:val="538135" w:themeColor="accent6" w:themeShade="BF"/>
          <w:sz w:val="26"/>
          <w:szCs w:val="26"/>
        </w:rPr>
        <w:t xml:space="preserve"> des Instituts </w:t>
      </w:r>
      <w:r w:rsidR="00A538D7" w:rsidRPr="006112B7">
        <w:rPr>
          <w:b/>
          <w:color w:val="538135" w:themeColor="accent6" w:themeShade="BF"/>
          <w:sz w:val="26"/>
          <w:szCs w:val="26"/>
        </w:rPr>
        <w:t>„Agora-Energiewende“ erschienen, der</w:t>
      </w:r>
      <w:r w:rsidR="008D58F5" w:rsidRPr="006112B7">
        <w:rPr>
          <w:b/>
          <w:color w:val="538135" w:themeColor="accent6" w:themeShade="BF"/>
          <w:sz w:val="26"/>
          <w:szCs w:val="26"/>
        </w:rPr>
        <w:t xml:space="preserve"> </w:t>
      </w:r>
      <w:r w:rsidR="00A538D7" w:rsidRPr="006112B7">
        <w:rPr>
          <w:b/>
          <w:color w:val="538135" w:themeColor="accent6" w:themeShade="BF"/>
          <w:sz w:val="26"/>
          <w:szCs w:val="26"/>
        </w:rPr>
        <w:t>sehr anschaulich verdeutlicht, was es im letzten Jahr</w:t>
      </w:r>
      <w:r w:rsidR="008664A2" w:rsidRPr="006112B7">
        <w:rPr>
          <w:b/>
          <w:color w:val="538135" w:themeColor="accent6" w:themeShade="BF"/>
          <w:sz w:val="26"/>
          <w:szCs w:val="26"/>
        </w:rPr>
        <w:t xml:space="preserve"> </w:t>
      </w:r>
      <w:r w:rsidR="00A538D7" w:rsidRPr="006112B7">
        <w:rPr>
          <w:b/>
          <w:color w:val="538135" w:themeColor="accent6" w:themeShade="BF"/>
          <w:sz w:val="26"/>
          <w:szCs w:val="26"/>
        </w:rPr>
        <w:t xml:space="preserve">für Entwicklungen zum </w:t>
      </w:r>
      <w:r w:rsidR="0063370B" w:rsidRPr="006112B7">
        <w:rPr>
          <w:b/>
          <w:color w:val="538135" w:themeColor="accent6" w:themeShade="BF"/>
          <w:sz w:val="26"/>
          <w:szCs w:val="26"/>
        </w:rPr>
        <w:t xml:space="preserve">Schlechten </w:t>
      </w:r>
      <w:r w:rsidR="00A538D7" w:rsidRPr="006112B7">
        <w:rPr>
          <w:b/>
          <w:color w:val="538135" w:themeColor="accent6" w:themeShade="BF"/>
          <w:sz w:val="26"/>
          <w:szCs w:val="26"/>
        </w:rPr>
        <w:t xml:space="preserve">oder </w:t>
      </w:r>
      <w:r w:rsidR="00BE7AAD" w:rsidRPr="006112B7">
        <w:rPr>
          <w:b/>
          <w:color w:val="538135" w:themeColor="accent6" w:themeShade="BF"/>
          <w:sz w:val="26"/>
          <w:szCs w:val="26"/>
        </w:rPr>
        <w:t xml:space="preserve">zum </w:t>
      </w:r>
      <w:r w:rsidR="0063370B" w:rsidRPr="006112B7">
        <w:rPr>
          <w:b/>
          <w:color w:val="538135" w:themeColor="accent6" w:themeShade="BF"/>
          <w:sz w:val="26"/>
          <w:szCs w:val="26"/>
        </w:rPr>
        <w:t xml:space="preserve">Guten </w:t>
      </w:r>
      <w:r w:rsidR="00A538D7" w:rsidRPr="006112B7">
        <w:rPr>
          <w:b/>
          <w:color w:val="538135" w:themeColor="accent6" w:themeShade="BF"/>
          <w:sz w:val="26"/>
          <w:szCs w:val="26"/>
        </w:rPr>
        <w:t xml:space="preserve">gegeben hat. Deutlich gemacht wird </w:t>
      </w:r>
      <w:r w:rsidR="008D58F5" w:rsidRPr="006112B7">
        <w:rPr>
          <w:b/>
          <w:color w:val="538135" w:themeColor="accent6" w:themeShade="BF"/>
          <w:sz w:val="26"/>
          <w:szCs w:val="26"/>
        </w:rPr>
        <w:t xml:space="preserve">in dem Bericht </w:t>
      </w:r>
      <w:r w:rsidR="00A538D7" w:rsidRPr="006112B7">
        <w:rPr>
          <w:b/>
          <w:color w:val="538135" w:themeColor="accent6" w:themeShade="BF"/>
          <w:sz w:val="26"/>
          <w:szCs w:val="26"/>
        </w:rPr>
        <w:t>auch, was für gewaltige Aufgaben bis zum Jahr 2030 zu</w:t>
      </w:r>
      <w:r w:rsidR="008D58F5" w:rsidRPr="006112B7">
        <w:rPr>
          <w:b/>
          <w:color w:val="538135" w:themeColor="accent6" w:themeShade="BF"/>
          <w:sz w:val="26"/>
          <w:szCs w:val="26"/>
        </w:rPr>
        <w:t xml:space="preserve"> bewältigen </w:t>
      </w:r>
      <w:r w:rsidR="00A538D7" w:rsidRPr="006112B7">
        <w:rPr>
          <w:b/>
          <w:color w:val="538135" w:themeColor="accent6" w:themeShade="BF"/>
          <w:sz w:val="26"/>
          <w:szCs w:val="26"/>
        </w:rPr>
        <w:t>wären, damit</w:t>
      </w:r>
      <w:r w:rsidR="00BE7AAD" w:rsidRPr="006112B7">
        <w:rPr>
          <w:b/>
          <w:color w:val="538135" w:themeColor="accent6" w:themeShade="BF"/>
          <w:sz w:val="26"/>
          <w:szCs w:val="26"/>
        </w:rPr>
        <w:t xml:space="preserve"> wir </w:t>
      </w:r>
      <w:r w:rsidR="00A538D7" w:rsidRPr="006112B7">
        <w:rPr>
          <w:b/>
          <w:color w:val="538135" w:themeColor="accent6" w:themeShade="BF"/>
          <w:sz w:val="26"/>
          <w:szCs w:val="26"/>
        </w:rPr>
        <w:t>überhaupt eine Chance haben</w:t>
      </w:r>
      <w:r w:rsidR="0047025E">
        <w:rPr>
          <w:b/>
          <w:color w:val="538135" w:themeColor="accent6" w:themeShade="BF"/>
          <w:sz w:val="26"/>
          <w:szCs w:val="26"/>
        </w:rPr>
        <w:t>,</w:t>
      </w:r>
      <w:r w:rsidR="00A538D7" w:rsidRPr="006112B7">
        <w:rPr>
          <w:b/>
          <w:color w:val="538135" w:themeColor="accent6" w:themeShade="BF"/>
          <w:sz w:val="26"/>
          <w:szCs w:val="26"/>
        </w:rPr>
        <w:t xml:space="preserve"> in die Nähe des 1,5°- Zieles zu kommen. </w:t>
      </w:r>
      <w:r w:rsidR="00160978" w:rsidRPr="006112B7">
        <w:rPr>
          <w:b/>
          <w:color w:val="538135" w:themeColor="accent6" w:themeShade="BF"/>
          <w:sz w:val="26"/>
          <w:szCs w:val="26"/>
        </w:rPr>
        <w:t>Im Folgenden wird</w:t>
      </w:r>
      <w:r w:rsidR="0047025E">
        <w:rPr>
          <w:b/>
          <w:color w:val="538135" w:themeColor="accent6" w:themeShade="BF"/>
          <w:sz w:val="26"/>
          <w:szCs w:val="26"/>
        </w:rPr>
        <w:t xml:space="preserve"> im Wesentlichen </w:t>
      </w:r>
      <w:r w:rsidR="00160978" w:rsidRPr="006112B7">
        <w:rPr>
          <w:b/>
          <w:color w:val="538135" w:themeColor="accent6" w:themeShade="BF"/>
          <w:sz w:val="26"/>
          <w:szCs w:val="26"/>
        </w:rPr>
        <w:t>auf diesen Bericht Bezug genommen.</w:t>
      </w:r>
    </w:p>
    <w:p w14:paraId="61D92671" w14:textId="59D79098" w:rsidR="00554D82" w:rsidRDefault="00BF375F" w:rsidP="00EC3BD6">
      <w:pPr>
        <w:pStyle w:val="Listenabsatz"/>
        <w:numPr>
          <w:ilvl w:val="0"/>
          <w:numId w:val="1"/>
        </w:numPr>
      </w:pPr>
      <w:r w:rsidRPr="00B0387E">
        <w:rPr>
          <w:b/>
          <w:bCs/>
          <w:color w:val="FF0000"/>
          <w:sz w:val="26"/>
          <w:szCs w:val="26"/>
        </w:rPr>
        <w:t>Wi</w:t>
      </w:r>
      <w:r w:rsidR="00B819C7">
        <w:rPr>
          <w:b/>
          <w:bCs/>
          <w:color w:val="FF0000"/>
          <w:sz w:val="26"/>
          <w:szCs w:val="26"/>
        </w:rPr>
        <w:t>e</w:t>
      </w:r>
      <w:r w:rsidRPr="00B0387E">
        <w:rPr>
          <w:b/>
          <w:bCs/>
          <w:color w:val="FF0000"/>
          <w:sz w:val="26"/>
          <w:szCs w:val="26"/>
        </w:rPr>
        <w:t xml:space="preserve"> haben sich die Treibhausgas-Emissionen in den vergangenen </w:t>
      </w:r>
      <w:r w:rsidR="00B819C7">
        <w:rPr>
          <w:b/>
          <w:bCs/>
          <w:color w:val="FF0000"/>
          <w:sz w:val="26"/>
          <w:szCs w:val="26"/>
        </w:rPr>
        <w:t>J</w:t>
      </w:r>
      <w:r w:rsidRPr="00B0387E">
        <w:rPr>
          <w:b/>
          <w:bCs/>
          <w:color w:val="FF0000"/>
          <w:sz w:val="26"/>
          <w:szCs w:val="26"/>
        </w:rPr>
        <w:t xml:space="preserve">ahren </w:t>
      </w:r>
      <w:r w:rsidR="0069090A">
        <w:rPr>
          <w:b/>
          <w:bCs/>
          <w:color w:val="FF0000"/>
          <w:sz w:val="26"/>
          <w:szCs w:val="26"/>
        </w:rPr>
        <w:t xml:space="preserve">in Deutschland </w:t>
      </w:r>
      <w:r w:rsidRPr="00B0387E">
        <w:rPr>
          <w:b/>
          <w:bCs/>
          <w:color w:val="FF0000"/>
          <w:sz w:val="26"/>
          <w:szCs w:val="26"/>
        </w:rPr>
        <w:t>entwi</w:t>
      </w:r>
      <w:r w:rsidRPr="00554D82">
        <w:rPr>
          <w:b/>
          <w:bCs/>
          <w:color w:val="FF0000"/>
          <w:sz w:val="26"/>
          <w:szCs w:val="26"/>
        </w:rPr>
        <w:t>ckelt</w:t>
      </w:r>
      <w:r w:rsidR="00F544E6" w:rsidRPr="00554D82">
        <w:rPr>
          <w:b/>
          <w:bCs/>
          <w:color w:val="FF0000"/>
          <w:sz w:val="26"/>
          <w:szCs w:val="26"/>
        </w:rPr>
        <w:t xml:space="preserve"> – und wie</w:t>
      </w:r>
      <w:r w:rsidR="0047025E">
        <w:rPr>
          <w:b/>
          <w:bCs/>
          <w:color w:val="FF0000"/>
          <w:sz w:val="26"/>
          <w:szCs w:val="26"/>
        </w:rPr>
        <w:t xml:space="preserve"> müssen </w:t>
      </w:r>
      <w:r w:rsidR="00531CAE">
        <w:rPr>
          <w:b/>
          <w:bCs/>
          <w:color w:val="FF0000"/>
          <w:sz w:val="26"/>
          <w:szCs w:val="26"/>
        </w:rPr>
        <w:t>s</w:t>
      </w:r>
      <w:r w:rsidR="00F544E6" w:rsidRPr="00554D82">
        <w:rPr>
          <w:b/>
          <w:bCs/>
          <w:color w:val="FF0000"/>
          <w:sz w:val="26"/>
          <w:szCs w:val="26"/>
        </w:rPr>
        <w:t>ie sich bis 2030 weiter entwickeln</w:t>
      </w:r>
      <w:r w:rsidR="0047025E">
        <w:rPr>
          <w:b/>
          <w:bCs/>
          <w:color w:val="FF0000"/>
          <w:sz w:val="26"/>
          <w:szCs w:val="26"/>
        </w:rPr>
        <w:t>, um das Paris-Ziel halbwegs zu erreichen</w:t>
      </w:r>
      <w:r w:rsidRPr="00554D82">
        <w:rPr>
          <w:b/>
          <w:bCs/>
          <w:color w:val="FF0000"/>
          <w:sz w:val="26"/>
          <w:szCs w:val="26"/>
        </w:rPr>
        <w:t>?</w:t>
      </w:r>
      <w:r w:rsidR="0047025E">
        <w:t xml:space="preserve"> Die Antwort auf diese Frage wird ersichtlich,  wenn wir die folgende </w:t>
      </w:r>
      <w:r>
        <w:t xml:space="preserve">Abbildung </w:t>
      </w:r>
      <w:r w:rsidR="00F544E6">
        <w:t>1</w:t>
      </w:r>
      <w:r w:rsidR="008F7587">
        <w:t>_</w:t>
      </w:r>
      <w:r w:rsidR="00F544E6">
        <w:t>1</w:t>
      </w:r>
      <w:r>
        <w:t xml:space="preserve"> aus dem Agora Bericht ansehen:</w:t>
      </w:r>
    </w:p>
    <w:p w14:paraId="62A49683" w14:textId="77777777" w:rsidR="00531CAE" w:rsidRDefault="00531CAE" w:rsidP="00531CAE">
      <w:pPr>
        <w:pStyle w:val="Listenabsatz"/>
        <w:ind w:left="360"/>
      </w:pPr>
    </w:p>
    <w:p w14:paraId="5F2F1B25" w14:textId="77777777" w:rsidR="00EF2153" w:rsidRPr="00531CAE" w:rsidRDefault="00EF2153" w:rsidP="00C95ECB">
      <w:pPr>
        <w:ind w:left="360"/>
        <w:rPr>
          <w:b/>
          <w:bCs/>
          <w:u w:val="single"/>
        </w:rPr>
      </w:pPr>
      <w:r w:rsidRPr="00531CAE">
        <w:rPr>
          <w:b/>
          <w:bCs/>
          <w:u w:val="single"/>
        </w:rPr>
        <w:t>Abb</w:t>
      </w:r>
      <w:r w:rsidR="00531CAE" w:rsidRPr="00531CAE">
        <w:rPr>
          <w:b/>
          <w:bCs/>
          <w:u w:val="single"/>
        </w:rPr>
        <w:t>.</w:t>
      </w:r>
      <w:r w:rsidRPr="00531CAE">
        <w:rPr>
          <w:b/>
          <w:bCs/>
          <w:u w:val="single"/>
        </w:rPr>
        <w:t xml:space="preserve"> 1_1:</w:t>
      </w:r>
    </w:p>
    <w:p w14:paraId="2D314870" w14:textId="77777777" w:rsidR="006B7A5F" w:rsidRDefault="006B7A5F" w:rsidP="00C95ECB">
      <w:pPr>
        <w:pStyle w:val="Listenabsatz"/>
        <w:ind w:left="360"/>
      </w:pPr>
      <w:r w:rsidRPr="00F544E6">
        <w:rPr>
          <w:noProof/>
        </w:rPr>
        <w:drawing>
          <wp:inline distT="0" distB="0" distL="0" distR="0" wp14:anchorId="4F26BFFB" wp14:editId="1C9FD574">
            <wp:extent cx="5760720" cy="38328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832860"/>
                    </a:xfrm>
                    <a:prstGeom prst="rect">
                      <a:avLst/>
                    </a:prstGeom>
                  </pic:spPr>
                </pic:pic>
              </a:graphicData>
            </a:graphic>
          </wp:inline>
        </w:drawing>
      </w:r>
    </w:p>
    <w:p w14:paraId="6EC505FE" w14:textId="61E68D91" w:rsidR="006B7A5F" w:rsidRDefault="00531CAE" w:rsidP="00CC472F">
      <w:pPr>
        <w:pStyle w:val="Listenabsatz"/>
        <w:numPr>
          <w:ilvl w:val="0"/>
          <w:numId w:val="3"/>
        </w:numPr>
        <w:ind w:left="360"/>
      </w:pPr>
      <w:r w:rsidRPr="00C87E2B">
        <w:rPr>
          <w:b/>
          <w:bCs/>
        </w:rPr>
        <w:lastRenderedPageBreak/>
        <w:t>W</w:t>
      </w:r>
      <w:r w:rsidR="006B7A5F" w:rsidRPr="00C87E2B">
        <w:rPr>
          <w:b/>
          <w:bCs/>
        </w:rPr>
        <w:t xml:space="preserve">as </w:t>
      </w:r>
      <w:r w:rsidR="00E36962" w:rsidRPr="00C87E2B">
        <w:rPr>
          <w:b/>
          <w:bCs/>
        </w:rPr>
        <w:t xml:space="preserve">ist </w:t>
      </w:r>
      <w:r w:rsidR="006B7A5F" w:rsidRPr="00C87E2B">
        <w:rPr>
          <w:b/>
          <w:bCs/>
        </w:rPr>
        <w:t>in dieser Abbildung dargestellt</w:t>
      </w:r>
      <w:r w:rsidR="00B819C7">
        <w:rPr>
          <w:b/>
          <w:bCs/>
        </w:rPr>
        <w:t>?</w:t>
      </w:r>
      <w:r w:rsidR="006B7A5F">
        <w:t xml:space="preserve"> Die farbigen Balken stellen die faktischen Treibhausgasemissionen </w:t>
      </w:r>
      <w:r w:rsidR="0047025E">
        <w:t xml:space="preserve">in den Jahren </w:t>
      </w:r>
      <w:r w:rsidR="00305618">
        <w:t xml:space="preserve">von 1990 </w:t>
      </w:r>
      <w:r w:rsidR="006B7A5F">
        <w:t>bis 2022 dar. Und die schwarze Linie rechts zeigt an</w:t>
      </w:r>
      <w:r w:rsidR="0047025E">
        <w:t>,</w:t>
      </w:r>
      <w:r w:rsidR="006B7A5F">
        <w:t xml:space="preserve"> wie sich die Emissionen bis zum Jahr 2030 laut </w:t>
      </w:r>
      <w:r w:rsidR="00516E40">
        <w:t>Klima</w:t>
      </w:r>
      <w:r w:rsidR="006B7A5F">
        <w:t>schutzgesetz</w:t>
      </w:r>
      <w:r w:rsidR="00403F0E">
        <w:rPr>
          <w:rStyle w:val="Funotenzeichen"/>
        </w:rPr>
        <w:footnoteReference w:id="1"/>
      </w:r>
      <w:r w:rsidR="006B7A5F">
        <w:t xml:space="preserve"> </w:t>
      </w:r>
      <w:r w:rsidR="00516E40">
        <w:t xml:space="preserve"> </w:t>
      </w:r>
      <w:r w:rsidR="006B7A5F">
        <w:t xml:space="preserve">entwickeln </w:t>
      </w:r>
      <w:r w:rsidR="00516E76">
        <w:t>sollten</w:t>
      </w:r>
      <w:r w:rsidR="006B7A5F">
        <w:t xml:space="preserve">. </w:t>
      </w:r>
    </w:p>
    <w:p w14:paraId="1783C78E" w14:textId="77777777" w:rsidR="0047025E" w:rsidRDefault="0047025E" w:rsidP="00CC472F">
      <w:pPr>
        <w:pStyle w:val="Listenabsatz"/>
        <w:ind w:left="0"/>
      </w:pPr>
    </w:p>
    <w:p w14:paraId="358B43D1" w14:textId="0ED47C45" w:rsidR="006B7A5F" w:rsidRDefault="006B7A5F" w:rsidP="00CC472F">
      <w:pPr>
        <w:pStyle w:val="Listenabsatz"/>
        <w:ind w:left="360"/>
      </w:pPr>
      <w:r>
        <w:t xml:space="preserve">Man erkennt: In den vergangenen 30 Jahren haben sich die Emissionen wesentlich langsamer verringert, als sie sich in den kommenden acht Jahren vermindern müssen. Denn </w:t>
      </w:r>
      <w:r w:rsidR="00726FA4">
        <w:t xml:space="preserve">die </w:t>
      </w:r>
      <w:r>
        <w:t xml:space="preserve">schwarze Linie </w:t>
      </w:r>
      <w:r w:rsidR="00726FA4">
        <w:t>fällt</w:t>
      </w:r>
      <w:r>
        <w:t xml:space="preserve"> wesentlich</w:t>
      </w:r>
      <w:r w:rsidR="0047025E">
        <w:t xml:space="preserve"> steiler </w:t>
      </w:r>
      <w:r w:rsidR="00BB246A">
        <w:t xml:space="preserve">ab </w:t>
      </w:r>
      <w:r w:rsidR="00726FA4">
        <w:t>a</w:t>
      </w:r>
      <w:r w:rsidR="002E2E5D">
        <w:t xml:space="preserve">ls </w:t>
      </w:r>
      <w:r>
        <w:t>eine Linie, die man</w:t>
      </w:r>
      <w:r w:rsidR="002E2E5D">
        <w:t xml:space="preserve"> </w:t>
      </w:r>
      <w:r>
        <w:t>a</w:t>
      </w:r>
      <w:r w:rsidR="002E2E5D">
        <w:t>m</w:t>
      </w:r>
      <w:r>
        <w:t xml:space="preserve"> </w:t>
      </w:r>
      <w:r w:rsidR="00726FA4">
        <w:t>oberen Rand</w:t>
      </w:r>
      <w:r>
        <w:t xml:space="preserve"> der Emission</w:t>
      </w:r>
      <w:r w:rsidR="003A2ED0">
        <w:t>sbalken</w:t>
      </w:r>
      <w:r>
        <w:t xml:space="preserve"> von 1990-2022 </w:t>
      </w:r>
      <w:r w:rsidR="002E2E5D">
        <w:t>einzeichnen</w:t>
      </w:r>
      <w:r>
        <w:t xml:space="preserve"> </w:t>
      </w:r>
      <w:r w:rsidR="00305618">
        <w:t>könnte</w:t>
      </w:r>
      <w:r>
        <w:t>.</w:t>
      </w:r>
    </w:p>
    <w:p w14:paraId="3AB5695D" w14:textId="77777777" w:rsidR="00132216" w:rsidRDefault="00132216" w:rsidP="00CC472F">
      <w:pPr>
        <w:pStyle w:val="Listenabsatz"/>
        <w:ind w:left="0"/>
      </w:pPr>
    </w:p>
    <w:p w14:paraId="46DD1149" w14:textId="77777777" w:rsidR="00062DEB" w:rsidRDefault="00062DEB" w:rsidP="00062DEB">
      <w:pPr>
        <w:pStyle w:val="Listenabsatz"/>
        <w:numPr>
          <w:ilvl w:val="0"/>
          <w:numId w:val="3"/>
        </w:numPr>
        <w:ind w:left="360"/>
      </w:pPr>
      <w:r>
        <w:t xml:space="preserve">Gut erkennbar wird dies auch in einer von mir angefertigten </w:t>
      </w:r>
      <w:r w:rsidRPr="003F1021">
        <w:rPr>
          <w:b/>
          <w:bCs/>
        </w:rPr>
        <w:t>Tabelle</w:t>
      </w:r>
      <w:r>
        <w:t xml:space="preserve"> (s. Abbildung A). Man sieht: </w:t>
      </w:r>
      <w:r w:rsidRPr="00B7158E">
        <w:rPr>
          <w:sz w:val="26"/>
          <w:szCs w:val="26"/>
        </w:rPr>
        <w:t xml:space="preserve">Die </w:t>
      </w:r>
      <w:r w:rsidRPr="00B7158E">
        <w:rPr>
          <w:sz w:val="26"/>
          <w:szCs w:val="26"/>
          <w:u w:val="single"/>
        </w:rPr>
        <w:t>geplanten</w:t>
      </w:r>
      <w:r w:rsidRPr="00B7158E">
        <w:rPr>
          <w:sz w:val="26"/>
          <w:szCs w:val="26"/>
        </w:rPr>
        <w:t xml:space="preserve"> Minderungen der Treibhausgas-Emissionen</w:t>
      </w:r>
      <w:r w:rsidRPr="00B7158E">
        <w:t xml:space="preserve"> (8-Jahresdurchschnitt) </w:t>
      </w:r>
      <w:r>
        <w:t xml:space="preserve">sind im Allgemeinen um den Faktor 2-3 höher als die </w:t>
      </w:r>
      <w:r w:rsidRPr="00B17970">
        <w:rPr>
          <w:u w:val="single"/>
        </w:rPr>
        <w:t>realen</w:t>
      </w:r>
      <w:r>
        <w:t xml:space="preserve"> durchschnittlichen Minderungen der zurückliegenden Jahrzehnte. Ausnahme Verkehr, da gilt der Faktor 20. was damit zusammenhängt, dass es in vergangenen 30 Jahren im Verkehrssektor so gut wie keine Emissionsminderungen gegeben hat.</w:t>
      </w:r>
    </w:p>
    <w:p w14:paraId="29ED04D9" w14:textId="77777777" w:rsidR="00062DEB" w:rsidRDefault="00062DEB" w:rsidP="00062DEB">
      <w:pPr>
        <w:pStyle w:val="Listenabsatz"/>
        <w:ind w:left="360"/>
      </w:pPr>
    </w:p>
    <w:p w14:paraId="04DFBED2" w14:textId="77777777" w:rsidR="00062DEB" w:rsidRDefault="00062DEB" w:rsidP="00062DEB">
      <w:pPr>
        <w:pStyle w:val="Listenabsatz"/>
        <w:ind w:left="360"/>
      </w:pPr>
      <w:r w:rsidRPr="006B7A5F">
        <w:rPr>
          <w:b/>
          <w:bCs/>
          <w:u w:val="single"/>
        </w:rPr>
        <w:t>Abb</w:t>
      </w:r>
      <w:r>
        <w:rPr>
          <w:b/>
          <w:bCs/>
          <w:u w:val="single"/>
        </w:rPr>
        <w:t>.</w:t>
      </w:r>
      <w:r w:rsidRPr="006B7A5F">
        <w:rPr>
          <w:b/>
          <w:bCs/>
          <w:u w:val="single"/>
        </w:rPr>
        <w:t xml:space="preserve"> A</w:t>
      </w:r>
      <w:r w:rsidRPr="006B7A5F">
        <w:rPr>
          <w:b/>
          <w:bCs/>
        </w:rPr>
        <w:t xml:space="preserve">: </w:t>
      </w:r>
      <w:r w:rsidRPr="0047025E">
        <w:rPr>
          <w:b/>
          <w:bCs/>
        </w:rPr>
        <w:t xml:space="preserve">Vergleich der </w:t>
      </w:r>
      <w:r>
        <w:rPr>
          <w:b/>
          <w:bCs/>
        </w:rPr>
        <w:t xml:space="preserve">realen </w:t>
      </w:r>
      <w:r w:rsidRPr="0047025E">
        <w:rPr>
          <w:b/>
          <w:bCs/>
        </w:rPr>
        <w:t>Emissionsminderungen der Jahren 1990-2022 (zweite Spalte) mit den geplanten Minderungen der Jahre 2022-2030 (dritte Spalte)</w:t>
      </w:r>
    </w:p>
    <w:tbl>
      <w:tblPr>
        <w:tblStyle w:val="Tabellenraster"/>
        <w:tblW w:w="9062" w:type="dxa"/>
        <w:tblInd w:w="360" w:type="dxa"/>
        <w:tblLayout w:type="fixed"/>
        <w:tblLook w:val="04A0" w:firstRow="1" w:lastRow="0" w:firstColumn="1" w:lastColumn="0" w:noHBand="0" w:noVBand="1"/>
      </w:tblPr>
      <w:tblGrid>
        <w:gridCol w:w="1413"/>
        <w:gridCol w:w="3685"/>
        <w:gridCol w:w="3964"/>
      </w:tblGrid>
      <w:tr w:rsidR="00062DEB" w:rsidRPr="005E1766" w14:paraId="3231822C" w14:textId="77777777" w:rsidTr="003B2467">
        <w:tc>
          <w:tcPr>
            <w:tcW w:w="1413" w:type="dxa"/>
            <w:shd w:val="clear" w:color="auto" w:fill="FFC000"/>
          </w:tcPr>
          <w:p w14:paraId="16A8246E" w14:textId="77777777" w:rsidR="00062DEB" w:rsidRDefault="00062DEB" w:rsidP="003B2467"/>
          <w:p w14:paraId="4B8A54E5" w14:textId="77777777" w:rsidR="00062DEB" w:rsidRPr="005E1766" w:rsidRDefault="00062DEB" w:rsidP="003B2467">
            <w:pPr>
              <w:rPr>
                <w:b/>
                <w:bCs/>
              </w:rPr>
            </w:pPr>
            <w:r w:rsidRPr="005E1766">
              <w:rPr>
                <w:b/>
                <w:bCs/>
              </w:rPr>
              <w:t>Sektoren</w:t>
            </w:r>
          </w:p>
        </w:tc>
        <w:tc>
          <w:tcPr>
            <w:tcW w:w="3685" w:type="dxa"/>
            <w:shd w:val="clear" w:color="auto" w:fill="FFC000"/>
            <w:vAlign w:val="bottom"/>
          </w:tcPr>
          <w:p w14:paraId="2A550C09" w14:textId="119D140D" w:rsidR="00062DEB" w:rsidRPr="00B7158E" w:rsidRDefault="00062DEB" w:rsidP="00062DEB">
            <w:pPr>
              <w:rPr>
                <w:sz w:val="20"/>
                <w:szCs w:val="20"/>
              </w:rPr>
            </w:pPr>
            <w:r w:rsidRPr="00B7158E">
              <w:rPr>
                <w:b/>
                <w:bCs/>
                <w:u w:val="single"/>
              </w:rPr>
              <w:t>Reale</w:t>
            </w:r>
            <w:r w:rsidRPr="00B7158E">
              <w:rPr>
                <w:b/>
                <w:bCs/>
              </w:rPr>
              <w:t xml:space="preserve"> </w:t>
            </w:r>
            <w:r w:rsidRPr="00B7158E">
              <w:rPr>
                <w:b/>
                <w:bCs/>
                <w:sz w:val="26"/>
                <w:szCs w:val="26"/>
              </w:rPr>
              <w:t>Reduzierungen der Treibhausgas-Emissionen</w:t>
            </w:r>
            <w:r w:rsidRPr="00B7158E">
              <w:rPr>
                <w:b/>
                <w:bCs/>
              </w:rPr>
              <w:t xml:space="preserve"> (32-Jahresdurchschnitt) der Jahre 1990-                           2022</w:t>
            </w:r>
            <w:r w:rsidRPr="00B7158E">
              <w:rPr>
                <w:sz w:val="20"/>
                <w:szCs w:val="20"/>
              </w:rPr>
              <w:t xml:space="preserve"> (in Mio. t. CO2-äqu.)</w:t>
            </w:r>
          </w:p>
        </w:tc>
        <w:tc>
          <w:tcPr>
            <w:tcW w:w="3964" w:type="dxa"/>
            <w:shd w:val="clear" w:color="auto" w:fill="FFC000"/>
            <w:vAlign w:val="bottom"/>
          </w:tcPr>
          <w:p w14:paraId="011588E6" w14:textId="75BC4E7E" w:rsidR="00062DEB" w:rsidRPr="005E1766" w:rsidRDefault="00062DEB" w:rsidP="00062DEB">
            <w:pPr>
              <w:rPr>
                <w:sz w:val="20"/>
                <w:szCs w:val="20"/>
              </w:rPr>
            </w:pPr>
            <w:r w:rsidRPr="00B7158E">
              <w:rPr>
                <w:b/>
                <w:bCs/>
                <w:u w:val="single"/>
              </w:rPr>
              <w:t>Gesetzlich geforderte</w:t>
            </w:r>
            <w:r w:rsidRPr="00B7158E">
              <w:rPr>
                <w:b/>
                <w:bCs/>
              </w:rPr>
              <w:t xml:space="preserve"> </w:t>
            </w:r>
            <w:r w:rsidRPr="00B7158E">
              <w:rPr>
                <w:b/>
                <w:bCs/>
                <w:sz w:val="26"/>
                <w:szCs w:val="26"/>
              </w:rPr>
              <w:t xml:space="preserve">Reduzierungen der Treibhausgas-Emissionen (Durchschnitt) </w:t>
            </w:r>
            <w:r w:rsidRPr="00B7158E">
              <w:rPr>
                <w:b/>
                <w:bCs/>
              </w:rPr>
              <w:t xml:space="preserve"> </w:t>
            </w:r>
            <w:r>
              <w:rPr>
                <w:b/>
                <w:bCs/>
              </w:rPr>
              <w:t xml:space="preserve">für die </w:t>
            </w:r>
            <w:r w:rsidRPr="009103C1">
              <w:rPr>
                <w:b/>
                <w:bCs/>
              </w:rPr>
              <w:t>Jahre 2022-</w:t>
            </w:r>
            <w:r>
              <w:rPr>
                <w:b/>
                <w:bCs/>
              </w:rPr>
              <w:t>2</w:t>
            </w:r>
            <w:r w:rsidRPr="009103C1">
              <w:rPr>
                <w:b/>
                <w:bCs/>
              </w:rPr>
              <w:t>030</w:t>
            </w:r>
            <w:r w:rsidRPr="005E1766">
              <w:rPr>
                <w:sz w:val="20"/>
                <w:szCs w:val="20"/>
              </w:rPr>
              <w:t xml:space="preserve"> (</w:t>
            </w:r>
            <w:r>
              <w:rPr>
                <w:sz w:val="20"/>
                <w:szCs w:val="20"/>
              </w:rPr>
              <w:t xml:space="preserve">in </w:t>
            </w:r>
            <w:r w:rsidRPr="005E1766">
              <w:rPr>
                <w:sz w:val="20"/>
                <w:szCs w:val="20"/>
              </w:rPr>
              <w:t>Mio. t. CO2-äqu.)</w:t>
            </w:r>
          </w:p>
        </w:tc>
        <w:bookmarkStart w:id="1" w:name="_GoBack"/>
        <w:bookmarkEnd w:id="1"/>
      </w:tr>
      <w:tr w:rsidR="00062DEB" w:rsidRPr="005E1766" w14:paraId="642EC9F7" w14:textId="77777777" w:rsidTr="003B2467">
        <w:trPr>
          <w:trHeight w:hRule="exact" w:val="893"/>
        </w:trPr>
        <w:tc>
          <w:tcPr>
            <w:tcW w:w="1413" w:type="dxa"/>
            <w:vAlign w:val="bottom"/>
          </w:tcPr>
          <w:p w14:paraId="305BA8AE" w14:textId="77777777" w:rsidR="00062DEB" w:rsidRDefault="00062DEB" w:rsidP="003B2467">
            <w:pPr>
              <w:rPr>
                <w:b/>
                <w:bCs/>
              </w:rPr>
            </w:pPr>
          </w:p>
          <w:p w14:paraId="4762E042" w14:textId="77777777" w:rsidR="00062DEB" w:rsidRPr="00817D51" w:rsidRDefault="00062DEB" w:rsidP="003B2467">
            <w:pPr>
              <w:rPr>
                <w:b/>
                <w:bCs/>
              </w:rPr>
            </w:pPr>
            <w:r w:rsidRPr="00817D51">
              <w:rPr>
                <w:b/>
                <w:bCs/>
              </w:rPr>
              <w:t>Energiewirtschaft</w:t>
            </w:r>
          </w:p>
        </w:tc>
        <w:tc>
          <w:tcPr>
            <w:tcW w:w="3685" w:type="dxa"/>
            <w:vAlign w:val="bottom"/>
          </w:tcPr>
          <w:p w14:paraId="37421949" w14:textId="77777777" w:rsidR="00062DEB" w:rsidRDefault="00062DEB" w:rsidP="003B2467">
            <w:pPr>
              <w:jc w:val="center"/>
              <w:rPr>
                <w:b/>
                <w:bCs/>
              </w:rPr>
            </w:pPr>
          </w:p>
          <w:p w14:paraId="7DD0C475" w14:textId="77777777" w:rsidR="00062DEB" w:rsidRPr="009103C1" w:rsidRDefault="00062DEB" w:rsidP="003B2467">
            <w:pPr>
              <w:jc w:val="center"/>
              <w:rPr>
                <w:b/>
                <w:bCs/>
              </w:rPr>
            </w:pPr>
            <w:r>
              <w:rPr>
                <w:b/>
                <w:bCs/>
              </w:rPr>
              <w:t xml:space="preserve">    6,6</w:t>
            </w:r>
            <w:r w:rsidRPr="005D16D4">
              <w:rPr>
                <w:b/>
                <w:bCs/>
                <w:bdr w:val="single" w:sz="4" w:space="0" w:color="auto"/>
              </w:rPr>
              <w:t xml:space="preserve">      </w:t>
            </w:r>
          </w:p>
        </w:tc>
        <w:tc>
          <w:tcPr>
            <w:tcW w:w="3964" w:type="dxa"/>
            <w:vAlign w:val="bottom"/>
          </w:tcPr>
          <w:p w14:paraId="4D0DAC85" w14:textId="77777777" w:rsidR="00062DEB" w:rsidRDefault="00062DEB" w:rsidP="003B2467">
            <w:pPr>
              <w:jc w:val="center"/>
              <w:rPr>
                <w:b/>
                <w:bCs/>
              </w:rPr>
            </w:pPr>
          </w:p>
          <w:p w14:paraId="20A05970" w14:textId="77777777" w:rsidR="00062DEB" w:rsidRDefault="00062DEB" w:rsidP="003B2467">
            <w:pPr>
              <w:jc w:val="center"/>
              <w:rPr>
                <w:b/>
                <w:bCs/>
              </w:rPr>
            </w:pPr>
            <w:r>
              <w:rPr>
                <w:b/>
                <w:bCs/>
              </w:rPr>
              <w:t xml:space="preserve">    </w:t>
            </w:r>
          </w:p>
          <w:p w14:paraId="4293DF7A" w14:textId="77777777" w:rsidR="00062DEB" w:rsidRPr="009103C1" w:rsidRDefault="00062DEB" w:rsidP="003B2467">
            <w:pPr>
              <w:jc w:val="center"/>
              <w:rPr>
                <w:b/>
                <w:bCs/>
              </w:rPr>
            </w:pPr>
            <w:r>
              <w:rPr>
                <w:b/>
                <w:bCs/>
              </w:rPr>
              <w:t xml:space="preserve">18,4    </w:t>
            </w:r>
          </w:p>
          <w:p w14:paraId="3DF1113B" w14:textId="77777777" w:rsidR="00062DEB" w:rsidRPr="005E1766" w:rsidRDefault="00062DEB" w:rsidP="003B2467">
            <w:pPr>
              <w:jc w:val="center"/>
              <w:rPr>
                <w:sz w:val="20"/>
                <w:szCs w:val="20"/>
              </w:rPr>
            </w:pPr>
          </w:p>
        </w:tc>
      </w:tr>
      <w:tr w:rsidR="00062DEB" w:rsidRPr="005E1766" w14:paraId="01DAE10E" w14:textId="77777777" w:rsidTr="003B2467">
        <w:trPr>
          <w:trHeight w:hRule="exact" w:val="680"/>
        </w:trPr>
        <w:tc>
          <w:tcPr>
            <w:tcW w:w="1413" w:type="dxa"/>
            <w:vAlign w:val="bottom"/>
          </w:tcPr>
          <w:p w14:paraId="7206F825" w14:textId="77777777" w:rsidR="00062DEB" w:rsidRDefault="00062DEB" w:rsidP="003B2467">
            <w:pPr>
              <w:rPr>
                <w:b/>
                <w:bCs/>
              </w:rPr>
            </w:pPr>
          </w:p>
          <w:p w14:paraId="106AA778" w14:textId="77777777" w:rsidR="00062DEB" w:rsidRPr="00817D51" w:rsidRDefault="00062DEB" w:rsidP="003B2467">
            <w:pPr>
              <w:rPr>
                <w:b/>
                <w:bCs/>
              </w:rPr>
            </w:pPr>
            <w:r>
              <w:rPr>
                <w:b/>
                <w:bCs/>
              </w:rPr>
              <w:t>I</w:t>
            </w:r>
            <w:r w:rsidRPr="00817D51">
              <w:rPr>
                <w:b/>
                <w:bCs/>
              </w:rPr>
              <w:t>ndustrie</w:t>
            </w:r>
          </w:p>
        </w:tc>
        <w:tc>
          <w:tcPr>
            <w:tcW w:w="3685" w:type="dxa"/>
            <w:vAlign w:val="bottom"/>
          </w:tcPr>
          <w:p w14:paraId="66A75C2A" w14:textId="77777777" w:rsidR="00062DEB" w:rsidRDefault="00062DEB" w:rsidP="003B2467">
            <w:pPr>
              <w:jc w:val="center"/>
              <w:rPr>
                <w:b/>
                <w:bCs/>
              </w:rPr>
            </w:pPr>
          </w:p>
          <w:p w14:paraId="3D87B297" w14:textId="77777777" w:rsidR="00062DEB" w:rsidRPr="009103C1" w:rsidRDefault="00062DEB" w:rsidP="003B2467">
            <w:pPr>
              <w:jc w:val="center"/>
              <w:rPr>
                <w:b/>
                <w:bCs/>
              </w:rPr>
            </w:pPr>
            <w:r>
              <w:rPr>
                <w:b/>
                <w:bCs/>
              </w:rPr>
              <w:t xml:space="preserve">   3,5      </w:t>
            </w:r>
          </w:p>
        </w:tc>
        <w:tc>
          <w:tcPr>
            <w:tcW w:w="3964" w:type="dxa"/>
            <w:vAlign w:val="bottom"/>
          </w:tcPr>
          <w:p w14:paraId="19DB23F3" w14:textId="77777777" w:rsidR="00062DEB" w:rsidRDefault="00062DEB" w:rsidP="003B2467">
            <w:pPr>
              <w:jc w:val="center"/>
              <w:rPr>
                <w:b/>
                <w:bCs/>
              </w:rPr>
            </w:pPr>
          </w:p>
          <w:p w14:paraId="06FED3A2" w14:textId="77777777" w:rsidR="00062DEB" w:rsidRPr="009103C1" w:rsidRDefault="00062DEB" w:rsidP="003B2467">
            <w:pPr>
              <w:jc w:val="center"/>
              <w:rPr>
                <w:b/>
                <w:bCs/>
              </w:rPr>
            </w:pPr>
            <w:r>
              <w:rPr>
                <w:b/>
                <w:bCs/>
              </w:rPr>
              <w:t xml:space="preserve">    6,9      </w:t>
            </w:r>
          </w:p>
          <w:p w14:paraId="7909A3B9" w14:textId="77777777" w:rsidR="00062DEB" w:rsidRPr="005E1766" w:rsidRDefault="00062DEB" w:rsidP="003B2467">
            <w:pPr>
              <w:jc w:val="center"/>
              <w:rPr>
                <w:sz w:val="20"/>
                <w:szCs w:val="20"/>
              </w:rPr>
            </w:pPr>
          </w:p>
        </w:tc>
      </w:tr>
      <w:tr w:rsidR="00062DEB" w:rsidRPr="005E1766" w14:paraId="05732008" w14:textId="77777777" w:rsidTr="003B2467">
        <w:trPr>
          <w:trHeight w:hRule="exact" w:val="680"/>
        </w:trPr>
        <w:tc>
          <w:tcPr>
            <w:tcW w:w="1413" w:type="dxa"/>
            <w:vAlign w:val="bottom"/>
          </w:tcPr>
          <w:p w14:paraId="44F8787A" w14:textId="77777777" w:rsidR="00062DEB" w:rsidRPr="00817D51" w:rsidRDefault="00062DEB" w:rsidP="003B2467">
            <w:pPr>
              <w:rPr>
                <w:b/>
                <w:bCs/>
              </w:rPr>
            </w:pPr>
          </w:p>
          <w:p w14:paraId="0B32C87A" w14:textId="77777777" w:rsidR="00062DEB" w:rsidRPr="00817D51" w:rsidRDefault="00062DEB" w:rsidP="003B2467">
            <w:pPr>
              <w:rPr>
                <w:b/>
                <w:bCs/>
              </w:rPr>
            </w:pPr>
            <w:r w:rsidRPr="00817D51">
              <w:rPr>
                <w:b/>
                <w:bCs/>
              </w:rPr>
              <w:t>Gebäude</w:t>
            </w:r>
          </w:p>
        </w:tc>
        <w:tc>
          <w:tcPr>
            <w:tcW w:w="3685" w:type="dxa"/>
            <w:vAlign w:val="bottom"/>
          </w:tcPr>
          <w:p w14:paraId="3641A6DE" w14:textId="77777777" w:rsidR="00062DEB" w:rsidRDefault="00062DEB" w:rsidP="003B2467">
            <w:pPr>
              <w:jc w:val="center"/>
              <w:rPr>
                <w:b/>
                <w:bCs/>
              </w:rPr>
            </w:pPr>
          </w:p>
          <w:p w14:paraId="0FAB757B" w14:textId="77777777" w:rsidR="00062DEB" w:rsidRPr="009103C1" w:rsidRDefault="00062DEB" w:rsidP="003B2467">
            <w:pPr>
              <w:jc w:val="center"/>
              <w:rPr>
                <w:b/>
                <w:bCs/>
              </w:rPr>
            </w:pPr>
            <w:r>
              <w:rPr>
                <w:b/>
                <w:bCs/>
              </w:rPr>
              <w:t xml:space="preserve">   3,0      </w:t>
            </w:r>
          </w:p>
        </w:tc>
        <w:tc>
          <w:tcPr>
            <w:tcW w:w="3964" w:type="dxa"/>
            <w:vAlign w:val="bottom"/>
          </w:tcPr>
          <w:p w14:paraId="3FC6B990" w14:textId="77777777" w:rsidR="00062DEB" w:rsidRDefault="00062DEB" w:rsidP="003B2467">
            <w:pPr>
              <w:jc w:val="center"/>
              <w:rPr>
                <w:b/>
                <w:bCs/>
              </w:rPr>
            </w:pPr>
          </w:p>
          <w:p w14:paraId="45C9A6E6" w14:textId="77777777" w:rsidR="00062DEB" w:rsidRPr="009103C1" w:rsidRDefault="00062DEB" w:rsidP="003B2467">
            <w:pPr>
              <w:jc w:val="center"/>
              <w:rPr>
                <w:b/>
                <w:bCs/>
              </w:rPr>
            </w:pPr>
            <w:r>
              <w:rPr>
                <w:b/>
                <w:bCs/>
              </w:rPr>
              <w:t xml:space="preserve">    5,8      </w:t>
            </w:r>
          </w:p>
          <w:p w14:paraId="64149A5F" w14:textId="77777777" w:rsidR="00062DEB" w:rsidRPr="005E1766" w:rsidRDefault="00062DEB" w:rsidP="003B2467">
            <w:pPr>
              <w:jc w:val="center"/>
              <w:rPr>
                <w:sz w:val="20"/>
                <w:szCs w:val="20"/>
              </w:rPr>
            </w:pPr>
          </w:p>
        </w:tc>
      </w:tr>
      <w:tr w:rsidR="00062DEB" w:rsidRPr="00E34EB7" w14:paraId="4DB0ED58" w14:textId="77777777" w:rsidTr="003B2467">
        <w:trPr>
          <w:trHeight w:hRule="exact" w:val="680"/>
        </w:trPr>
        <w:tc>
          <w:tcPr>
            <w:tcW w:w="1413" w:type="dxa"/>
            <w:vAlign w:val="bottom"/>
          </w:tcPr>
          <w:p w14:paraId="2CA08D80" w14:textId="77777777" w:rsidR="00062DEB" w:rsidRPr="00817D51" w:rsidRDefault="00062DEB" w:rsidP="003B2467">
            <w:pPr>
              <w:rPr>
                <w:b/>
                <w:bCs/>
              </w:rPr>
            </w:pPr>
          </w:p>
          <w:p w14:paraId="266142FD" w14:textId="77777777" w:rsidR="00062DEB" w:rsidRPr="00817D51" w:rsidRDefault="00062DEB" w:rsidP="003B2467">
            <w:pPr>
              <w:rPr>
                <w:b/>
                <w:bCs/>
              </w:rPr>
            </w:pPr>
            <w:r w:rsidRPr="00817D51">
              <w:rPr>
                <w:b/>
                <w:bCs/>
              </w:rPr>
              <w:t>Verkehr</w:t>
            </w:r>
          </w:p>
          <w:p w14:paraId="7C53B56E" w14:textId="77777777" w:rsidR="00062DEB" w:rsidRPr="00817D51" w:rsidRDefault="00062DEB" w:rsidP="003B2467">
            <w:pPr>
              <w:rPr>
                <w:b/>
                <w:bCs/>
              </w:rPr>
            </w:pPr>
          </w:p>
        </w:tc>
        <w:tc>
          <w:tcPr>
            <w:tcW w:w="3685" w:type="dxa"/>
            <w:vAlign w:val="bottom"/>
          </w:tcPr>
          <w:p w14:paraId="32642EC7" w14:textId="77777777" w:rsidR="00062DEB" w:rsidRDefault="00062DEB" w:rsidP="003B2467">
            <w:pPr>
              <w:jc w:val="center"/>
              <w:rPr>
                <w:b/>
                <w:bCs/>
              </w:rPr>
            </w:pPr>
            <w:r>
              <w:rPr>
                <w:b/>
                <w:bCs/>
              </w:rPr>
              <w:t xml:space="preserve">   </w:t>
            </w:r>
          </w:p>
          <w:p w14:paraId="48635ED6" w14:textId="77777777" w:rsidR="00062DEB" w:rsidRPr="009103C1" w:rsidRDefault="00062DEB" w:rsidP="003B2467">
            <w:pPr>
              <w:jc w:val="center"/>
              <w:rPr>
                <w:b/>
                <w:bCs/>
              </w:rPr>
            </w:pPr>
            <w:r>
              <w:rPr>
                <w:b/>
                <w:bCs/>
              </w:rPr>
              <w:t xml:space="preserve">    0,41      </w:t>
            </w:r>
          </w:p>
        </w:tc>
        <w:tc>
          <w:tcPr>
            <w:tcW w:w="3964" w:type="dxa"/>
            <w:vAlign w:val="bottom"/>
          </w:tcPr>
          <w:p w14:paraId="273A09B7" w14:textId="77777777" w:rsidR="00062DEB" w:rsidRDefault="00062DEB" w:rsidP="003B2467">
            <w:pPr>
              <w:jc w:val="center"/>
              <w:rPr>
                <w:sz w:val="20"/>
                <w:szCs w:val="20"/>
              </w:rPr>
            </w:pPr>
          </w:p>
          <w:p w14:paraId="78938060" w14:textId="77777777" w:rsidR="00062DEB" w:rsidRPr="00E34EB7" w:rsidRDefault="00062DEB" w:rsidP="003B2467">
            <w:pPr>
              <w:jc w:val="center"/>
              <w:rPr>
                <w:b/>
                <w:bCs/>
                <w:szCs w:val="24"/>
              </w:rPr>
            </w:pPr>
            <w:r>
              <w:rPr>
                <w:b/>
                <w:bCs/>
                <w:szCs w:val="24"/>
              </w:rPr>
              <w:t xml:space="preserve">    8,1</w:t>
            </w:r>
            <w:r>
              <w:rPr>
                <w:b/>
                <w:bCs/>
              </w:rPr>
              <w:t xml:space="preserve">      </w:t>
            </w:r>
          </w:p>
        </w:tc>
      </w:tr>
      <w:tr w:rsidR="00062DEB" w:rsidRPr="005E1766" w14:paraId="38E98483" w14:textId="77777777" w:rsidTr="003B2467">
        <w:trPr>
          <w:trHeight w:hRule="exact" w:val="680"/>
        </w:trPr>
        <w:tc>
          <w:tcPr>
            <w:tcW w:w="1413" w:type="dxa"/>
            <w:vAlign w:val="bottom"/>
          </w:tcPr>
          <w:p w14:paraId="178E1639" w14:textId="77777777" w:rsidR="00062DEB" w:rsidRPr="00817D51" w:rsidRDefault="00062DEB" w:rsidP="003B2467">
            <w:pPr>
              <w:rPr>
                <w:b/>
                <w:bCs/>
              </w:rPr>
            </w:pPr>
            <w:r w:rsidRPr="00817D51">
              <w:rPr>
                <w:b/>
                <w:bCs/>
              </w:rPr>
              <w:t>Landwirtschaft</w:t>
            </w:r>
          </w:p>
        </w:tc>
        <w:tc>
          <w:tcPr>
            <w:tcW w:w="3685" w:type="dxa"/>
            <w:vAlign w:val="bottom"/>
          </w:tcPr>
          <w:p w14:paraId="40F74699" w14:textId="77777777" w:rsidR="00062DEB" w:rsidRDefault="00062DEB" w:rsidP="003B2467">
            <w:pPr>
              <w:jc w:val="center"/>
              <w:rPr>
                <w:b/>
                <w:bCs/>
              </w:rPr>
            </w:pPr>
          </w:p>
          <w:p w14:paraId="695C36C4" w14:textId="77777777" w:rsidR="00062DEB" w:rsidRPr="009103C1" w:rsidRDefault="00062DEB" w:rsidP="003B2467">
            <w:pPr>
              <w:jc w:val="center"/>
              <w:rPr>
                <w:b/>
                <w:bCs/>
              </w:rPr>
            </w:pPr>
            <w:r>
              <w:rPr>
                <w:b/>
                <w:bCs/>
              </w:rPr>
              <w:t xml:space="preserve">    0,66      </w:t>
            </w:r>
          </w:p>
        </w:tc>
        <w:tc>
          <w:tcPr>
            <w:tcW w:w="3964" w:type="dxa"/>
            <w:vAlign w:val="bottom"/>
          </w:tcPr>
          <w:p w14:paraId="11ADFF95" w14:textId="77777777" w:rsidR="00062DEB" w:rsidRDefault="00062DEB" w:rsidP="003B2467">
            <w:pPr>
              <w:jc w:val="center"/>
              <w:rPr>
                <w:b/>
                <w:bCs/>
              </w:rPr>
            </w:pPr>
            <w:r>
              <w:rPr>
                <w:b/>
                <w:bCs/>
              </w:rPr>
              <w:t xml:space="preserve">   </w:t>
            </w:r>
          </w:p>
          <w:p w14:paraId="5B32ACB4" w14:textId="77777777" w:rsidR="00062DEB" w:rsidRPr="009103C1" w:rsidRDefault="00062DEB" w:rsidP="003B2467">
            <w:pPr>
              <w:jc w:val="center"/>
              <w:rPr>
                <w:b/>
                <w:bCs/>
              </w:rPr>
            </w:pPr>
            <w:r>
              <w:rPr>
                <w:b/>
                <w:bCs/>
              </w:rPr>
              <w:t xml:space="preserve">     0,37      </w:t>
            </w:r>
          </w:p>
          <w:p w14:paraId="42184A5C" w14:textId="77777777" w:rsidR="00062DEB" w:rsidRPr="005E1766" w:rsidRDefault="00062DEB" w:rsidP="003B2467">
            <w:pPr>
              <w:jc w:val="center"/>
              <w:rPr>
                <w:sz w:val="20"/>
                <w:szCs w:val="20"/>
              </w:rPr>
            </w:pPr>
          </w:p>
        </w:tc>
      </w:tr>
      <w:tr w:rsidR="00062DEB" w:rsidRPr="005E1766" w14:paraId="25BFBF2E" w14:textId="77777777" w:rsidTr="003B2467">
        <w:trPr>
          <w:trHeight w:hRule="exact" w:val="676"/>
        </w:trPr>
        <w:tc>
          <w:tcPr>
            <w:tcW w:w="1413" w:type="dxa"/>
            <w:vAlign w:val="bottom"/>
          </w:tcPr>
          <w:p w14:paraId="718D6E4D" w14:textId="77777777" w:rsidR="00062DEB" w:rsidRPr="00817D51" w:rsidRDefault="00062DEB" w:rsidP="003B2467">
            <w:pPr>
              <w:rPr>
                <w:b/>
                <w:bCs/>
              </w:rPr>
            </w:pPr>
            <w:r w:rsidRPr="00817D51">
              <w:rPr>
                <w:b/>
                <w:bCs/>
              </w:rPr>
              <w:t xml:space="preserve">Alle Sektoren </w:t>
            </w:r>
          </w:p>
        </w:tc>
        <w:tc>
          <w:tcPr>
            <w:tcW w:w="3685" w:type="dxa"/>
            <w:vAlign w:val="bottom"/>
          </w:tcPr>
          <w:p w14:paraId="59CD8292" w14:textId="77777777" w:rsidR="00062DEB" w:rsidRDefault="00062DEB" w:rsidP="003B2467">
            <w:pPr>
              <w:jc w:val="center"/>
              <w:rPr>
                <w:b/>
                <w:bCs/>
              </w:rPr>
            </w:pPr>
          </w:p>
          <w:p w14:paraId="3C170BF5" w14:textId="77777777" w:rsidR="00062DEB" w:rsidRPr="009103C1" w:rsidRDefault="00062DEB" w:rsidP="003B2467">
            <w:pPr>
              <w:jc w:val="center"/>
              <w:rPr>
                <w:b/>
                <w:bCs/>
              </w:rPr>
            </w:pPr>
            <w:r>
              <w:rPr>
                <w:b/>
                <w:bCs/>
              </w:rPr>
              <w:t xml:space="preserve">     15,0      </w:t>
            </w:r>
          </w:p>
        </w:tc>
        <w:tc>
          <w:tcPr>
            <w:tcW w:w="3964" w:type="dxa"/>
            <w:vAlign w:val="bottom"/>
          </w:tcPr>
          <w:p w14:paraId="5B328594" w14:textId="77777777" w:rsidR="00062DEB" w:rsidRDefault="00062DEB" w:rsidP="003B2467">
            <w:pPr>
              <w:jc w:val="center"/>
              <w:rPr>
                <w:b/>
                <w:bCs/>
              </w:rPr>
            </w:pPr>
          </w:p>
          <w:p w14:paraId="3C3B54DC" w14:textId="77777777" w:rsidR="00062DEB" w:rsidRDefault="00062DEB" w:rsidP="003B2467">
            <w:pPr>
              <w:jc w:val="center"/>
              <w:rPr>
                <w:b/>
                <w:bCs/>
              </w:rPr>
            </w:pPr>
            <w:r>
              <w:rPr>
                <w:b/>
                <w:bCs/>
              </w:rPr>
              <w:t xml:space="preserve">    40,4</w:t>
            </w:r>
          </w:p>
          <w:p w14:paraId="4B334A72" w14:textId="77777777" w:rsidR="00062DEB" w:rsidRDefault="00062DEB" w:rsidP="003B2467">
            <w:pPr>
              <w:jc w:val="center"/>
              <w:rPr>
                <w:b/>
                <w:bCs/>
              </w:rPr>
            </w:pPr>
          </w:p>
          <w:p w14:paraId="09BBDF0B" w14:textId="77777777" w:rsidR="00062DEB" w:rsidRDefault="00062DEB" w:rsidP="003B2467">
            <w:pPr>
              <w:jc w:val="center"/>
              <w:rPr>
                <w:b/>
                <w:bCs/>
              </w:rPr>
            </w:pPr>
          </w:p>
          <w:p w14:paraId="0768647E" w14:textId="77777777" w:rsidR="00062DEB" w:rsidRPr="009103C1" w:rsidRDefault="00062DEB" w:rsidP="003B2467">
            <w:pPr>
              <w:jc w:val="center"/>
              <w:rPr>
                <w:b/>
                <w:bCs/>
              </w:rPr>
            </w:pPr>
            <w:r>
              <w:rPr>
                <w:b/>
                <w:bCs/>
              </w:rPr>
              <w:t xml:space="preserve">   </w:t>
            </w:r>
          </w:p>
          <w:p w14:paraId="4AE3F1CA" w14:textId="77777777" w:rsidR="00062DEB" w:rsidRPr="005E1766" w:rsidRDefault="00062DEB" w:rsidP="003B2467">
            <w:pPr>
              <w:jc w:val="center"/>
              <w:rPr>
                <w:sz w:val="20"/>
                <w:szCs w:val="20"/>
              </w:rPr>
            </w:pPr>
          </w:p>
        </w:tc>
      </w:tr>
    </w:tbl>
    <w:p w14:paraId="0BD7A52C" w14:textId="77777777" w:rsidR="006B7A5F" w:rsidRDefault="006B7A5F" w:rsidP="00CC472F">
      <w:pPr>
        <w:pStyle w:val="Listenabsatz"/>
        <w:ind w:left="12"/>
      </w:pPr>
    </w:p>
    <w:p w14:paraId="619A12FF" w14:textId="25DE5BB1" w:rsidR="00FB171C" w:rsidRDefault="006B7A5F" w:rsidP="00CC472F">
      <w:pPr>
        <w:pStyle w:val="Listenabsatz"/>
        <w:ind w:left="360"/>
      </w:pPr>
      <w:r>
        <w:t>Der Agora</w:t>
      </w:r>
      <w:r w:rsidR="00FD3357">
        <w:t>-</w:t>
      </w:r>
      <w:r>
        <w:t xml:space="preserve">Bericht enthält </w:t>
      </w:r>
      <w:r w:rsidR="00516E40">
        <w:t xml:space="preserve">übrigens </w:t>
      </w:r>
      <w:r>
        <w:t xml:space="preserve">auch Abbildungen für die </w:t>
      </w:r>
      <w:r w:rsidR="00AC231C">
        <w:t xml:space="preserve">Emissionen der </w:t>
      </w:r>
      <w:r w:rsidRPr="006B7A5F">
        <w:rPr>
          <w:u w:val="single"/>
        </w:rPr>
        <w:t>einzelne</w:t>
      </w:r>
      <w:r w:rsidR="00AC231C">
        <w:rPr>
          <w:u w:val="single"/>
        </w:rPr>
        <w:t>n</w:t>
      </w:r>
      <w:r w:rsidR="003A2ED0">
        <w:rPr>
          <w:u w:val="single"/>
        </w:rPr>
        <w:t xml:space="preserve"> </w:t>
      </w:r>
      <w:r w:rsidR="003A2ED0" w:rsidRPr="003A2ED0">
        <w:t>S</w:t>
      </w:r>
      <w:r>
        <w:t>ektoren (also Energiewirtschaft, Industrie … usw.),</w:t>
      </w:r>
      <w:r w:rsidR="0047025E">
        <w:t xml:space="preserve"> </w:t>
      </w:r>
      <w:r w:rsidR="00A24D2C">
        <w:t>durch die</w:t>
      </w:r>
      <w:r w:rsidR="0047025E">
        <w:t xml:space="preserve"> </w:t>
      </w:r>
      <w:r>
        <w:t>das eben Gesagte bekräftigt wird.</w:t>
      </w:r>
    </w:p>
    <w:p w14:paraId="103AEED0" w14:textId="12F1F930" w:rsidR="00EF2153" w:rsidRDefault="006B7A5F" w:rsidP="00AB1504">
      <w:pPr>
        <w:pStyle w:val="Listenabsatz"/>
        <w:numPr>
          <w:ilvl w:val="0"/>
          <w:numId w:val="3"/>
        </w:numPr>
        <w:ind w:left="360"/>
      </w:pPr>
      <w:r>
        <w:lastRenderedPageBreak/>
        <w:t>Da die Treibhausgas-Emission ja wesentlich durch den Verbrauch fossiler Brennstoffe (Kohle,  Öl, Gas) verursacht wird,</w:t>
      </w:r>
      <w:r w:rsidR="00844141">
        <w:t xml:space="preserve"> ist einzusehen</w:t>
      </w:r>
      <w:r>
        <w:t xml:space="preserve">, dass die Ziele für die kommenden acht Jahre (schwarze Linie in </w:t>
      </w:r>
      <w:r w:rsidR="00A9582D">
        <w:t>der Abbildung 1_1</w:t>
      </w:r>
      <w:r>
        <w:t xml:space="preserve">) nur </w:t>
      </w:r>
      <w:r w:rsidR="00A9582D">
        <w:t xml:space="preserve">dann </w:t>
      </w:r>
      <w:r>
        <w:t xml:space="preserve">realisiert werden können, wenn man </w:t>
      </w:r>
      <w:r w:rsidRPr="00C87E2B">
        <w:rPr>
          <w:b/>
          <w:bCs/>
        </w:rPr>
        <w:t>fossile Brennstoffe zukünftig in der Erde lässt und nur auf</w:t>
      </w:r>
      <w:r w:rsidR="006F580C" w:rsidRPr="00C87E2B">
        <w:rPr>
          <w:b/>
          <w:bCs/>
        </w:rPr>
        <w:t xml:space="preserve"> erneuerbare </w:t>
      </w:r>
      <w:r w:rsidR="009E3FB6" w:rsidRPr="00C87E2B">
        <w:rPr>
          <w:b/>
          <w:bCs/>
        </w:rPr>
        <w:t>Energiequellen</w:t>
      </w:r>
      <w:r w:rsidRPr="00C87E2B">
        <w:rPr>
          <w:b/>
          <w:bCs/>
        </w:rPr>
        <w:t xml:space="preserve"> setzt</w:t>
      </w:r>
      <w:r w:rsidR="006F580C">
        <w:t>,</w:t>
      </w:r>
      <w:r>
        <w:t xml:space="preserve"> also </w:t>
      </w:r>
      <w:r w:rsidR="00A9582D">
        <w:t xml:space="preserve">vorwiegend </w:t>
      </w:r>
      <w:r>
        <w:t>auf Wind und Sonne.</w:t>
      </w:r>
      <w:r w:rsidR="00203CA8">
        <w:t xml:space="preserve"> </w:t>
      </w:r>
    </w:p>
    <w:p w14:paraId="13B1F0FB" w14:textId="2C7686CE" w:rsidR="00203CA8" w:rsidRDefault="00203CA8" w:rsidP="00AB1504">
      <w:pPr>
        <w:pStyle w:val="Listenabsatz"/>
        <w:ind w:left="0"/>
      </w:pPr>
    </w:p>
    <w:p w14:paraId="3FE85723" w14:textId="27624820" w:rsidR="00EF2153" w:rsidRDefault="00203CA8" w:rsidP="00AB1504">
      <w:pPr>
        <w:pStyle w:val="Listenabsatz"/>
        <w:ind w:left="360"/>
      </w:pPr>
      <w:r>
        <w:t xml:space="preserve">Für einige Sektoren wird allerdings deutlich, dass diese </w:t>
      </w:r>
      <w:r w:rsidRPr="00E03FA6">
        <w:rPr>
          <w:u w:val="single"/>
        </w:rPr>
        <w:t>Energiewende</w:t>
      </w:r>
      <w:r>
        <w:t xml:space="preserve"> – von fossil zu erneuerbar </w:t>
      </w:r>
      <w:r w:rsidR="00C760CC">
        <w:t xml:space="preserve">– </w:t>
      </w:r>
      <w:r>
        <w:t>nicht ausreicht. Im Verkehr</w:t>
      </w:r>
      <w:r w:rsidR="00E03FA6">
        <w:t>s</w:t>
      </w:r>
      <w:r>
        <w:t xml:space="preserve">sektor </w:t>
      </w:r>
      <w:r w:rsidR="00C760CC">
        <w:t xml:space="preserve">zum Beispiel </w:t>
      </w:r>
      <w:r>
        <w:t xml:space="preserve">muss dazu auch eine </w:t>
      </w:r>
      <w:r w:rsidRPr="00E03FA6">
        <w:rPr>
          <w:u w:val="single"/>
        </w:rPr>
        <w:t>Mobilitätswende</w:t>
      </w:r>
      <w:r>
        <w:t xml:space="preserve"> kommen. Mobilitätswende bedeutet, die Mobilität von Menschen und die Logistik von Gütern mit weniger  Verkehr zu ermöglichen. Hierzu bedarf es im Personenverkehr </w:t>
      </w:r>
      <w:r w:rsidR="00C760CC">
        <w:t xml:space="preserve">u.a. </w:t>
      </w:r>
      <w:r>
        <w:t xml:space="preserve">so genannte modal </w:t>
      </w:r>
      <w:proofErr w:type="spellStart"/>
      <w:r>
        <w:t>shifts</w:t>
      </w:r>
      <w:proofErr w:type="spellEnd"/>
      <w:r>
        <w:t xml:space="preserve"> von privaten Pkw hin zu Rad-, Fuß-, Öffentlichem Verkehr; und im Güterverkehr eine Verlagerung von </w:t>
      </w:r>
      <w:r w:rsidR="00B70A9C">
        <w:t>S</w:t>
      </w:r>
      <w:r w:rsidR="00FD3357">
        <w:t>tr</w:t>
      </w:r>
      <w:r w:rsidR="00B70A9C">
        <w:t>aßentransporten</w:t>
      </w:r>
      <w:r>
        <w:t xml:space="preserve"> auf die Schiene.    </w:t>
      </w:r>
    </w:p>
    <w:p w14:paraId="14E974C7" w14:textId="463F5F66" w:rsidR="00C760CC" w:rsidRDefault="00C760CC" w:rsidP="00CC472F">
      <w:pPr>
        <w:pStyle w:val="Listenabsatz"/>
        <w:ind w:left="0"/>
      </w:pPr>
    </w:p>
    <w:p w14:paraId="1BE5F542" w14:textId="422FE1B7" w:rsidR="00C760CC" w:rsidRDefault="00C760CC" w:rsidP="00AB1504">
      <w:pPr>
        <w:pStyle w:val="Listenabsatz"/>
        <w:ind w:left="360"/>
      </w:pPr>
      <w:r>
        <w:t xml:space="preserve">Analoges gilt </w:t>
      </w:r>
      <w:r w:rsidR="00C03840">
        <w:t>auch</w:t>
      </w:r>
      <w:r>
        <w:t xml:space="preserve"> für den Gebäudesektor: Auch hier reicht die Energiewende</w:t>
      </w:r>
      <w:r w:rsidR="00FD3357">
        <w:t>,</w:t>
      </w:r>
      <w:r>
        <w:t xml:space="preserve"> also der Umstieg auf erneuerbare Energien</w:t>
      </w:r>
      <w:r w:rsidR="00FD3357">
        <w:t>,</w:t>
      </w:r>
      <w:r>
        <w:t xml:space="preserve"> nicht. Vielmehr müssen auch Häuser anders, d. h. u.a. wärmeisolierter gebaut werden.</w:t>
      </w:r>
    </w:p>
    <w:p w14:paraId="4F63AEAF" w14:textId="77777777" w:rsidR="00531CAE" w:rsidRDefault="00531CAE" w:rsidP="00AB1504">
      <w:pPr>
        <w:pStyle w:val="Listenabsatz"/>
        <w:ind w:left="0"/>
      </w:pPr>
    </w:p>
    <w:p w14:paraId="3E3148AA" w14:textId="49ED52EE" w:rsidR="006B7A5F" w:rsidRPr="00EA6881" w:rsidRDefault="00320845" w:rsidP="00AB1504">
      <w:pPr>
        <w:pStyle w:val="Listenabsatz"/>
        <w:numPr>
          <w:ilvl w:val="0"/>
          <w:numId w:val="3"/>
        </w:numPr>
        <w:ind w:left="360"/>
        <w:rPr>
          <w:b/>
          <w:bCs/>
        </w:rPr>
      </w:pPr>
      <w:r>
        <w:t>Da wie gesagt,</w:t>
      </w:r>
      <w:r w:rsidR="00844141">
        <w:t xml:space="preserve"> gewaltige </w:t>
      </w:r>
      <w:r>
        <w:t xml:space="preserve">Zuwachsraten bei den </w:t>
      </w:r>
      <w:r w:rsidR="00987179">
        <w:t>Emissions-</w:t>
      </w:r>
      <w:r>
        <w:t xml:space="preserve">Minderungen </w:t>
      </w:r>
      <w:r w:rsidR="00844141">
        <w:t xml:space="preserve">der kommenden Jahre </w:t>
      </w:r>
      <w:r>
        <w:t xml:space="preserve">erforderlich sind, sind auch gewaltig </w:t>
      </w:r>
      <w:r w:rsidRPr="00DB4236">
        <w:rPr>
          <w:b/>
          <w:bCs/>
        </w:rPr>
        <w:t>große Zuwachsraten auf den Feldern Wind-</w:t>
      </w:r>
      <w:r w:rsidR="00844141" w:rsidRPr="00DB4236">
        <w:rPr>
          <w:b/>
          <w:bCs/>
        </w:rPr>
        <w:t xml:space="preserve"> </w:t>
      </w:r>
      <w:r w:rsidRPr="00DB4236">
        <w:rPr>
          <w:b/>
          <w:bCs/>
        </w:rPr>
        <w:t>und Sonnen-Energie</w:t>
      </w:r>
      <w:r w:rsidR="00844141" w:rsidRPr="00DB4236">
        <w:rPr>
          <w:b/>
          <w:bCs/>
        </w:rPr>
        <w:t>-</w:t>
      </w:r>
      <w:r w:rsidR="0063370B" w:rsidRPr="00DB4236">
        <w:rPr>
          <w:b/>
          <w:bCs/>
        </w:rPr>
        <w:t>P</w:t>
      </w:r>
      <w:r w:rsidR="00844141" w:rsidRPr="00DB4236">
        <w:rPr>
          <w:b/>
          <w:bCs/>
        </w:rPr>
        <w:t xml:space="preserve">roduktion </w:t>
      </w:r>
      <w:r w:rsidRPr="00DB4236">
        <w:rPr>
          <w:b/>
          <w:bCs/>
        </w:rPr>
        <w:t xml:space="preserve"> </w:t>
      </w:r>
      <w:r>
        <w:t>notwendig</w:t>
      </w:r>
      <w:r w:rsidR="00844141">
        <w:t>:</w:t>
      </w:r>
      <w:r>
        <w:t xml:space="preserve"> Siehe die Abbildungen  </w:t>
      </w:r>
      <w:r w:rsidR="006B7A5F">
        <w:t xml:space="preserve">4_12 und 4_14 aus dem Agorabericht, die demonstrieren,  wie </w:t>
      </w:r>
      <w:r w:rsidR="003F1021">
        <w:t xml:space="preserve">stark </w:t>
      </w:r>
      <w:r w:rsidR="006B7A5F">
        <w:t>man bezüglich Wind und Sonne in den kommenden Jahren</w:t>
      </w:r>
      <w:r w:rsidR="006E0005">
        <w:t>, beginnend 2023,</w:t>
      </w:r>
      <w:r w:rsidR="006B7A5F">
        <w:t xml:space="preserve"> zulegen müsste, um die notwendigen, mit dem 1,5°-Ziel zu vereinbarenden Emissionsminderungen zu erreichen. </w:t>
      </w:r>
      <w:r w:rsidR="00F52FB6" w:rsidRPr="00EA6881">
        <w:rPr>
          <w:b/>
          <w:bCs/>
        </w:rPr>
        <w:t>Zurzeit ist freilich nicht erkennbar, dass in Deutschland</w:t>
      </w:r>
      <w:r w:rsidR="006E0005" w:rsidRPr="00EA6881">
        <w:rPr>
          <w:b/>
          <w:bCs/>
        </w:rPr>
        <w:t xml:space="preserve"> Wesentliches </w:t>
      </w:r>
      <w:r w:rsidR="00F52FB6" w:rsidRPr="00EA6881">
        <w:rPr>
          <w:b/>
          <w:bCs/>
        </w:rPr>
        <w:t>vorbereitet wäre, um</w:t>
      </w:r>
      <w:r w:rsidR="006E0005" w:rsidRPr="00EA6881">
        <w:rPr>
          <w:b/>
          <w:bCs/>
        </w:rPr>
        <w:t xml:space="preserve"> die Zubau-</w:t>
      </w:r>
      <w:r w:rsidR="00F52FB6" w:rsidRPr="00EA6881">
        <w:rPr>
          <w:b/>
          <w:bCs/>
        </w:rPr>
        <w:t>Turbo</w:t>
      </w:r>
      <w:r w:rsidR="006E0005" w:rsidRPr="00EA6881">
        <w:rPr>
          <w:b/>
          <w:bCs/>
        </w:rPr>
        <w:t>s</w:t>
      </w:r>
      <w:r w:rsidR="00F52FB6" w:rsidRPr="00EA6881">
        <w:rPr>
          <w:b/>
          <w:bCs/>
        </w:rPr>
        <w:t xml:space="preserve"> </w:t>
      </w:r>
      <w:r w:rsidR="00903832">
        <w:rPr>
          <w:b/>
          <w:bCs/>
        </w:rPr>
        <w:t xml:space="preserve">ab heute </w:t>
      </w:r>
      <w:r w:rsidR="00F52FB6" w:rsidRPr="00EA6881">
        <w:rPr>
          <w:b/>
          <w:bCs/>
        </w:rPr>
        <w:t>anwerfen zu können.</w:t>
      </w:r>
    </w:p>
    <w:p w14:paraId="03BD7A7A" w14:textId="77777777" w:rsidR="00132216" w:rsidRDefault="00132216" w:rsidP="00AB1504">
      <w:pPr>
        <w:pStyle w:val="Listenabsatz"/>
        <w:ind w:left="0"/>
      </w:pPr>
    </w:p>
    <w:p w14:paraId="67E158A4" w14:textId="18CEDD19" w:rsidR="006B7A5F" w:rsidRDefault="00EF2153" w:rsidP="00AB1504">
      <w:pPr>
        <w:pStyle w:val="Listenabsatz"/>
        <w:ind w:left="348"/>
      </w:pPr>
      <w:r w:rsidRPr="00531CAE">
        <w:rPr>
          <w:b/>
          <w:bCs/>
          <w:u w:val="single"/>
        </w:rPr>
        <w:t>Abb</w:t>
      </w:r>
      <w:r w:rsidR="00531CAE" w:rsidRPr="00531CAE">
        <w:rPr>
          <w:b/>
          <w:bCs/>
          <w:u w:val="single"/>
        </w:rPr>
        <w:t>.</w:t>
      </w:r>
      <w:r w:rsidRPr="00531CAE">
        <w:rPr>
          <w:b/>
          <w:bCs/>
          <w:u w:val="single"/>
        </w:rPr>
        <w:t xml:space="preserve"> 4_12:</w:t>
      </w:r>
      <w:r w:rsidR="006B7A5F" w:rsidRPr="00EF35C6">
        <w:rPr>
          <w:noProof/>
        </w:rPr>
        <w:drawing>
          <wp:inline distT="0" distB="0" distL="0" distR="0" wp14:anchorId="3ACC91BE" wp14:editId="63BF4E2D">
            <wp:extent cx="5760720" cy="3257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57550"/>
                    </a:xfrm>
                    <a:prstGeom prst="rect">
                      <a:avLst/>
                    </a:prstGeom>
                  </pic:spPr>
                </pic:pic>
              </a:graphicData>
            </a:graphic>
          </wp:inline>
        </w:drawing>
      </w:r>
    </w:p>
    <w:p w14:paraId="6A0627DE" w14:textId="77777777" w:rsidR="004741AB" w:rsidRDefault="004741AB" w:rsidP="00AB1504">
      <w:pPr>
        <w:pStyle w:val="Listenabsatz"/>
        <w:ind w:left="0"/>
      </w:pPr>
    </w:p>
    <w:p w14:paraId="0934661D" w14:textId="1DD97C53" w:rsidR="006B7A5F" w:rsidRDefault="00EB5C6D" w:rsidP="00AB1504">
      <w:pPr>
        <w:pStyle w:val="Listenabsatz"/>
        <w:ind w:left="348"/>
      </w:pPr>
      <w:r>
        <w:t xml:space="preserve">Probleme hinsichtlich großer Zuwächse bei Sonne und Wind gibt es </w:t>
      </w:r>
      <w:r w:rsidR="009A0410">
        <w:t xml:space="preserve">übrigens </w:t>
      </w:r>
      <w:r>
        <w:t xml:space="preserve">nicht nur </w:t>
      </w:r>
      <w:r w:rsidR="00FD3357">
        <w:t>in Fragen</w:t>
      </w:r>
      <w:r w:rsidR="006B7A5F">
        <w:t xml:space="preserve"> </w:t>
      </w:r>
      <w:r w:rsidR="00E03FA6">
        <w:t>technische</w:t>
      </w:r>
      <w:r w:rsidR="00FD3357">
        <w:t>r</w:t>
      </w:r>
      <w:r w:rsidR="00E03FA6">
        <w:t xml:space="preserve"> </w:t>
      </w:r>
      <w:r w:rsidR="006B7A5F" w:rsidRPr="0063370B">
        <w:rPr>
          <w:u w:val="single"/>
        </w:rPr>
        <w:t>Baumaßnahmen</w:t>
      </w:r>
      <w:r w:rsidR="006B7A5F">
        <w:t xml:space="preserve"> für die </w:t>
      </w:r>
      <w:r w:rsidR="00415B1B">
        <w:t>Wind- und Sonnenenergie-Anlagen</w:t>
      </w:r>
      <w:r w:rsidR="006B7A5F">
        <w:t>: Wie man weiß</w:t>
      </w:r>
      <w:r w:rsidR="008334B1">
        <w:t>,</w:t>
      </w:r>
      <w:r w:rsidR="006B7A5F">
        <w:t xml:space="preserve"> gibt es ja heute große Engpässe, sowohl was die </w:t>
      </w:r>
      <w:r w:rsidR="00415B1B">
        <w:t>Baum</w:t>
      </w:r>
      <w:r w:rsidR="006B7A5F">
        <w:t>aterialien als auch die zum Bau notwendigen Fachkräfte betrifft. Sondern</w:t>
      </w:r>
      <w:r>
        <w:t xml:space="preserve"> Probleme gibt es </w:t>
      </w:r>
      <w:r w:rsidR="006B7A5F">
        <w:t xml:space="preserve">auch hinsichtlich einer Vielzahl </w:t>
      </w:r>
      <w:r>
        <w:t xml:space="preserve">strukturell wirksamer und </w:t>
      </w:r>
      <w:r w:rsidR="006B7A5F">
        <w:t xml:space="preserve">organisatorischer Maßnahmen auf der politischen Ebene der einzelnen Bundesländer, die </w:t>
      </w:r>
      <w:r w:rsidR="00B134AC">
        <w:t>beseitigt</w:t>
      </w:r>
      <w:r w:rsidR="006B7A5F">
        <w:t xml:space="preserve"> werden müssten, damit man den ins Auge gefassten Ziel</w:t>
      </w:r>
      <w:r w:rsidR="00EF2153">
        <w:t xml:space="preserve">en </w:t>
      </w:r>
      <w:r w:rsidR="006B7A5F">
        <w:t>näher kommen kann (siehe unten).</w:t>
      </w:r>
    </w:p>
    <w:p w14:paraId="37830080" w14:textId="77777777" w:rsidR="00531CAE" w:rsidRPr="00305618" w:rsidRDefault="00531CAE" w:rsidP="00AB1504">
      <w:pPr>
        <w:ind w:left="348"/>
        <w:rPr>
          <w:b/>
          <w:bCs/>
          <w:u w:val="single"/>
        </w:rPr>
      </w:pPr>
      <w:r w:rsidRPr="00305618">
        <w:rPr>
          <w:b/>
          <w:bCs/>
          <w:u w:val="single"/>
        </w:rPr>
        <w:t>Abb. 4_14:</w:t>
      </w:r>
    </w:p>
    <w:p w14:paraId="37B6F7DB" w14:textId="77777777" w:rsidR="006B7A5F" w:rsidRDefault="006B7A5F" w:rsidP="00AB1504">
      <w:pPr>
        <w:pStyle w:val="Listenabsatz"/>
        <w:ind w:left="348"/>
      </w:pPr>
      <w:r w:rsidRPr="00EF35C6">
        <w:rPr>
          <w:noProof/>
        </w:rPr>
        <w:drawing>
          <wp:inline distT="0" distB="0" distL="0" distR="0" wp14:anchorId="79641158" wp14:editId="0EFA6617">
            <wp:extent cx="5760720" cy="367411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74110"/>
                    </a:xfrm>
                    <a:prstGeom prst="rect">
                      <a:avLst/>
                    </a:prstGeom>
                  </pic:spPr>
                </pic:pic>
              </a:graphicData>
            </a:graphic>
          </wp:inline>
        </w:drawing>
      </w:r>
    </w:p>
    <w:p w14:paraId="014F5FBC" w14:textId="77777777" w:rsidR="006B7A5F" w:rsidRDefault="006B7A5F" w:rsidP="006B7A5F">
      <w:pPr>
        <w:pStyle w:val="Listenabsatz"/>
        <w:ind w:left="360"/>
      </w:pPr>
    </w:p>
    <w:p w14:paraId="5D18543C" w14:textId="77777777" w:rsidR="00132216" w:rsidRDefault="00132216" w:rsidP="00132216">
      <w:pPr>
        <w:pStyle w:val="Listenabsatz"/>
        <w:ind w:left="360"/>
        <w:rPr>
          <w:b/>
          <w:bCs/>
          <w:color w:val="FF0000"/>
          <w:sz w:val="26"/>
          <w:szCs w:val="26"/>
        </w:rPr>
      </w:pPr>
    </w:p>
    <w:p w14:paraId="096470B2" w14:textId="77777777" w:rsidR="00E675DC" w:rsidRDefault="00E675DC" w:rsidP="00132216">
      <w:pPr>
        <w:pStyle w:val="Listenabsatz"/>
        <w:ind w:left="360"/>
        <w:rPr>
          <w:b/>
          <w:bCs/>
          <w:color w:val="FF0000"/>
          <w:sz w:val="26"/>
          <w:szCs w:val="26"/>
        </w:rPr>
      </w:pPr>
    </w:p>
    <w:p w14:paraId="6D441502" w14:textId="4CCFF4C0" w:rsidR="00132216" w:rsidRDefault="00132216" w:rsidP="0058771C">
      <w:pPr>
        <w:pStyle w:val="Listenabsatz"/>
        <w:numPr>
          <w:ilvl w:val="0"/>
          <w:numId w:val="1"/>
        </w:numPr>
        <w:rPr>
          <w:b/>
          <w:bCs/>
          <w:color w:val="FF0000"/>
          <w:sz w:val="26"/>
          <w:szCs w:val="26"/>
        </w:rPr>
      </w:pPr>
      <w:r>
        <w:rPr>
          <w:b/>
          <w:bCs/>
          <w:color w:val="FF0000"/>
          <w:sz w:val="26"/>
          <w:szCs w:val="26"/>
        </w:rPr>
        <w:t xml:space="preserve">Welche </w:t>
      </w:r>
      <w:r w:rsidR="00226ED8">
        <w:rPr>
          <w:b/>
          <w:bCs/>
          <w:color w:val="FF0000"/>
          <w:sz w:val="26"/>
          <w:szCs w:val="26"/>
        </w:rPr>
        <w:t xml:space="preserve">energiewende-relevanten </w:t>
      </w:r>
      <w:r>
        <w:rPr>
          <w:b/>
          <w:bCs/>
          <w:color w:val="FF0000"/>
          <w:sz w:val="26"/>
          <w:szCs w:val="26"/>
        </w:rPr>
        <w:t xml:space="preserve">Aufgaben sind </w:t>
      </w:r>
      <w:r w:rsidR="00F4462E">
        <w:rPr>
          <w:b/>
          <w:bCs/>
          <w:color w:val="FF0000"/>
          <w:sz w:val="26"/>
          <w:szCs w:val="26"/>
        </w:rPr>
        <w:t xml:space="preserve">in Deutschland </w:t>
      </w:r>
      <w:r>
        <w:rPr>
          <w:b/>
          <w:bCs/>
          <w:color w:val="FF0000"/>
          <w:sz w:val="26"/>
          <w:szCs w:val="26"/>
        </w:rPr>
        <w:t xml:space="preserve">im Jahr 2022 </w:t>
      </w:r>
      <w:r w:rsidR="00EA741D">
        <w:rPr>
          <w:b/>
          <w:bCs/>
          <w:color w:val="FF0000"/>
          <w:sz w:val="26"/>
          <w:szCs w:val="26"/>
        </w:rPr>
        <w:t xml:space="preserve">erledigt worden und welche sind </w:t>
      </w:r>
      <w:r>
        <w:rPr>
          <w:b/>
          <w:bCs/>
          <w:color w:val="FF0000"/>
          <w:sz w:val="26"/>
          <w:szCs w:val="26"/>
        </w:rPr>
        <w:t>liegen geblieben?</w:t>
      </w:r>
    </w:p>
    <w:p w14:paraId="67E6DE57" w14:textId="08F858FC" w:rsidR="0029620E" w:rsidRDefault="002B43F8" w:rsidP="00845EFF">
      <w:pPr>
        <w:ind w:left="348"/>
        <w:rPr>
          <w:szCs w:val="24"/>
        </w:rPr>
      </w:pPr>
      <w:r w:rsidRPr="008A563F">
        <w:rPr>
          <w:b/>
          <w:bCs/>
          <w:szCs w:val="24"/>
        </w:rPr>
        <w:t xml:space="preserve">Im Agora-Bericht </w:t>
      </w:r>
      <w:r w:rsidR="00BE5B68" w:rsidRPr="008A563F">
        <w:rPr>
          <w:b/>
          <w:bCs/>
          <w:szCs w:val="24"/>
        </w:rPr>
        <w:t>in</w:t>
      </w:r>
      <w:r w:rsidRPr="008A563F">
        <w:rPr>
          <w:b/>
          <w:bCs/>
          <w:szCs w:val="24"/>
        </w:rPr>
        <w:t xml:space="preserve"> Kapitel 7</w:t>
      </w:r>
      <w:r w:rsidR="00BE5B68">
        <w:rPr>
          <w:szCs w:val="24"/>
        </w:rPr>
        <w:t xml:space="preserve"> werden diese Fragen detailliert</w:t>
      </w:r>
      <w:r w:rsidR="001D627F">
        <w:rPr>
          <w:szCs w:val="24"/>
        </w:rPr>
        <w:t xml:space="preserve"> </w:t>
      </w:r>
      <w:r w:rsidR="00BE5B68">
        <w:rPr>
          <w:szCs w:val="24"/>
        </w:rPr>
        <w:t>beantwortet. So ist zu lesen</w:t>
      </w:r>
      <w:r w:rsidR="007A00AE">
        <w:rPr>
          <w:szCs w:val="24"/>
        </w:rPr>
        <w:t>,</w:t>
      </w:r>
      <w:r w:rsidR="001D627F">
        <w:rPr>
          <w:szCs w:val="24"/>
        </w:rPr>
        <w:t xml:space="preserve"> und </w:t>
      </w:r>
      <w:r w:rsidR="0063370B">
        <w:rPr>
          <w:szCs w:val="24"/>
        </w:rPr>
        <w:t xml:space="preserve">das </w:t>
      </w:r>
      <w:r w:rsidR="001D627F">
        <w:rPr>
          <w:szCs w:val="24"/>
        </w:rPr>
        <w:t>wird hier in einigen Teilen fast wörtlich übernommen</w:t>
      </w:r>
      <w:r w:rsidR="00BE5B68">
        <w:rPr>
          <w:szCs w:val="24"/>
        </w:rPr>
        <w:t>:</w:t>
      </w:r>
      <w:r>
        <w:rPr>
          <w:szCs w:val="24"/>
        </w:rPr>
        <w:t xml:space="preserve"> </w:t>
      </w:r>
      <w:r w:rsidRPr="002B43F8">
        <w:rPr>
          <w:szCs w:val="24"/>
        </w:rPr>
        <w:t>Kriegsbedingt war die Energie-</w:t>
      </w:r>
      <w:r w:rsidR="00BE5B68">
        <w:rPr>
          <w:szCs w:val="24"/>
        </w:rPr>
        <w:t xml:space="preserve"> </w:t>
      </w:r>
      <w:r w:rsidRPr="002B43F8">
        <w:rPr>
          <w:szCs w:val="24"/>
        </w:rPr>
        <w:t>und Klimapolitik 2022 von Notmaßnahmen zur kurz- und mittelfristigen Krisenbewältigung dominiert, die teilweise zu Lasten der zuvor geplanten klimapolitischen Vorhaben gingen.</w:t>
      </w:r>
    </w:p>
    <w:p w14:paraId="1EECB01C" w14:textId="5DF00D1C" w:rsidR="00342FCE" w:rsidRPr="00DF3763" w:rsidRDefault="007A00AE" w:rsidP="00DF3763">
      <w:pPr>
        <w:pStyle w:val="Listenabsatz"/>
        <w:numPr>
          <w:ilvl w:val="0"/>
          <w:numId w:val="2"/>
        </w:numPr>
        <w:rPr>
          <w:szCs w:val="26"/>
        </w:rPr>
      </w:pPr>
      <w:r>
        <w:rPr>
          <w:szCs w:val="26"/>
        </w:rPr>
        <w:t>So hat v</w:t>
      </w:r>
      <w:r w:rsidR="00342FCE" w:rsidRPr="00DF3763">
        <w:rPr>
          <w:szCs w:val="26"/>
        </w:rPr>
        <w:t>or Beginn des Ukraine-Krieges</w:t>
      </w:r>
      <w:r w:rsidR="00BE5B68" w:rsidRPr="00DF3763">
        <w:rPr>
          <w:szCs w:val="26"/>
        </w:rPr>
        <w:t xml:space="preserve"> </w:t>
      </w:r>
      <w:r w:rsidR="00BE5B68" w:rsidRPr="007A00AE">
        <w:rPr>
          <w:b/>
          <w:bCs/>
          <w:szCs w:val="26"/>
        </w:rPr>
        <w:t xml:space="preserve">Russland </w:t>
      </w:r>
      <w:r w:rsidR="00912F75">
        <w:rPr>
          <w:b/>
          <w:bCs/>
          <w:szCs w:val="26"/>
        </w:rPr>
        <w:t>folgende Energierohstoffe</w:t>
      </w:r>
      <w:r w:rsidR="00BE5B68" w:rsidRPr="007A00AE">
        <w:rPr>
          <w:b/>
          <w:bCs/>
          <w:szCs w:val="26"/>
        </w:rPr>
        <w:t xml:space="preserve"> nach Deutschland geliefert</w:t>
      </w:r>
      <w:r w:rsidR="00342FCE" w:rsidRPr="007A00AE">
        <w:rPr>
          <w:b/>
          <w:bCs/>
          <w:szCs w:val="26"/>
        </w:rPr>
        <w:t>:</w:t>
      </w:r>
      <w:r w:rsidR="00342FCE" w:rsidRPr="00DF3763">
        <w:rPr>
          <w:szCs w:val="26"/>
        </w:rPr>
        <w:t xml:space="preserve"> 35 Prozent  des deutschen Ölverbrauchs, rund 50 Prozent des Steinkohle-</w:t>
      </w:r>
      <w:r w:rsidR="00BE5B68" w:rsidRPr="00DF3763">
        <w:rPr>
          <w:szCs w:val="26"/>
        </w:rPr>
        <w:t>V</w:t>
      </w:r>
      <w:r w:rsidR="00342FCE" w:rsidRPr="00DF3763">
        <w:rPr>
          <w:szCs w:val="26"/>
        </w:rPr>
        <w:t>erbrauchs und 55 Prozent des Erdgasverbrauchs</w:t>
      </w:r>
      <w:r w:rsidR="00BE5B68" w:rsidRPr="00DF3763">
        <w:rPr>
          <w:szCs w:val="26"/>
        </w:rPr>
        <w:t xml:space="preserve">. Diese Lieferungen wurden im Laufe des Jahres </w:t>
      </w:r>
      <w:r w:rsidR="00E36ADC">
        <w:rPr>
          <w:szCs w:val="26"/>
        </w:rPr>
        <w:t xml:space="preserve">2022 </w:t>
      </w:r>
      <w:r w:rsidR="00BE5B68" w:rsidRPr="00DF3763">
        <w:rPr>
          <w:szCs w:val="26"/>
        </w:rPr>
        <w:t xml:space="preserve">durch Maßnahmen sowohl von Seiten der EU als auch von </w:t>
      </w:r>
      <w:r w:rsidR="00BE5B68" w:rsidRPr="00DF3763">
        <w:rPr>
          <w:szCs w:val="26"/>
        </w:rPr>
        <w:lastRenderedPageBreak/>
        <w:t xml:space="preserve">russischer Seite wesentlich reduziert bzw. auf </w:t>
      </w:r>
      <w:r w:rsidR="00E36ADC">
        <w:rPr>
          <w:szCs w:val="26"/>
        </w:rPr>
        <w:t>n</w:t>
      </w:r>
      <w:r w:rsidR="00BE5B68" w:rsidRPr="00DF3763">
        <w:rPr>
          <w:szCs w:val="26"/>
        </w:rPr>
        <w:t xml:space="preserve">ull heruntergefahren. </w:t>
      </w:r>
      <w:r w:rsidR="00D00BAC" w:rsidRPr="00DF3763">
        <w:rPr>
          <w:szCs w:val="26"/>
        </w:rPr>
        <w:t>Dies führte in Deutschland auf vielen Feldern zu krisenhaften Entwicklungen.</w:t>
      </w:r>
    </w:p>
    <w:p w14:paraId="792CE95A" w14:textId="7D40E1ED" w:rsidR="00132216" w:rsidRPr="00DF3763" w:rsidRDefault="00D00BAC" w:rsidP="00DF3763">
      <w:pPr>
        <w:pStyle w:val="Listenabsatz"/>
        <w:numPr>
          <w:ilvl w:val="0"/>
          <w:numId w:val="2"/>
        </w:numPr>
        <w:rPr>
          <w:szCs w:val="26"/>
        </w:rPr>
      </w:pPr>
      <w:r w:rsidRPr="007A00AE">
        <w:rPr>
          <w:b/>
          <w:bCs/>
          <w:szCs w:val="26"/>
        </w:rPr>
        <w:t>Die Krisenreaktion der Bundesregierung</w:t>
      </w:r>
      <w:r w:rsidRPr="00DF3763">
        <w:rPr>
          <w:szCs w:val="26"/>
        </w:rPr>
        <w:t xml:space="preserve"> war es, </w:t>
      </w:r>
      <w:r w:rsidR="0063370B">
        <w:rPr>
          <w:szCs w:val="26"/>
        </w:rPr>
        <w:t xml:space="preserve">eine </w:t>
      </w:r>
      <w:r w:rsidRPr="00DF3763">
        <w:rPr>
          <w:szCs w:val="26"/>
        </w:rPr>
        <w:t xml:space="preserve">Diversifizierung fossiler Brennstoffe anzustreben und finanzielle Entlastungen für die Bevölkerung </w:t>
      </w:r>
      <w:r w:rsidR="00F73151">
        <w:rPr>
          <w:szCs w:val="26"/>
        </w:rPr>
        <w:t>b</w:t>
      </w:r>
      <w:r w:rsidRPr="00DF3763">
        <w:rPr>
          <w:szCs w:val="26"/>
        </w:rPr>
        <w:t xml:space="preserve">ereitzustellen. Denn die Kosten für die Energieversorgung der Bevölkerung waren ja im Laufe des Jahres gewaltig gestiegen.  </w:t>
      </w:r>
      <w:r w:rsidR="00D92198" w:rsidRPr="00DF3763">
        <w:rPr>
          <w:szCs w:val="26"/>
        </w:rPr>
        <w:t>I</w:t>
      </w:r>
      <w:r w:rsidRPr="00DF3763">
        <w:rPr>
          <w:szCs w:val="26"/>
        </w:rPr>
        <w:t>m Laufe des Jahres beschloss  die Regierung deshalb drei Entlastungspakete mit einem Volumen von insgesamt 95 Milliarden Euro sowie  ein Sondervermögen in Höhe von 200 Milliarden Euro für einen „Abwehrschirm gegen die Folgen des  russischen Angriffskriegs“.</w:t>
      </w:r>
      <w:r w:rsidR="00A72B3F">
        <w:rPr>
          <w:szCs w:val="26"/>
        </w:rPr>
        <w:t xml:space="preserve"> (Siehe meinen Energiewende-Bericht</w:t>
      </w:r>
      <w:r w:rsidRPr="00DF3763">
        <w:rPr>
          <w:szCs w:val="26"/>
        </w:rPr>
        <w:t xml:space="preserve"> </w:t>
      </w:r>
      <w:r w:rsidR="00A72B3F">
        <w:rPr>
          <w:szCs w:val="26"/>
        </w:rPr>
        <w:t>21-07/08, Punkt 5)</w:t>
      </w:r>
    </w:p>
    <w:p w14:paraId="4B0110F7" w14:textId="7F406DD9" w:rsidR="000227C4" w:rsidRPr="00DF3763" w:rsidRDefault="000227C4" w:rsidP="00DF3763">
      <w:pPr>
        <w:pStyle w:val="Listenabsatz"/>
        <w:numPr>
          <w:ilvl w:val="0"/>
          <w:numId w:val="2"/>
        </w:numPr>
        <w:rPr>
          <w:szCs w:val="24"/>
        </w:rPr>
      </w:pPr>
      <w:r w:rsidRPr="007A00AE">
        <w:rPr>
          <w:b/>
          <w:bCs/>
          <w:szCs w:val="24"/>
        </w:rPr>
        <w:t xml:space="preserve">Einige </w:t>
      </w:r>
      <w:r w:rsidR="00FB171C">
        <w:rPr>
          <w:b/>
          <w:bCs/>
          <w:szCs w:val="24"/>
        </w:rPr>
        <w:t>energiewend</w:t>
      </w:r>
      <w:r w:rsidR="00F73151">
        <w:rPr>
          <w:b/>
          <w:bCs/>
          <w:szCs w:val="24"/>
        </w:rPr>
        <w:t>e</w:t>
      </w:r>
      <w:r w:rsidR="00FB171C">
        <w:rPr>
          <w:b/>
          <w:bCs/>
          <w:szCs w:val="24"/>
        </w:rPr>
        <w:t xml:space="preserve">-relevante </w:t>
      </w:r>
      <w:r w:rsidRPr="007A00AE">
        <w:rPr>
          <w:b/>
          <w:bCs/>
          <w:szCs w:val="24"/>
        </w:rPr>
        <w:t xml:space="preserve"> Maßnahmen hat es im Verlauf des Jahres 2022 </w:t>
      </w:r>
      <w:r w:rsidR="00837FE6">
        <w:rPr>
          <w:b/>
          <w:bCs/>
          <w:szCs w:val="24"/>
        </w:rPr>
        <w:t>dennoch</w:t>
      </w:r>
      <w:r w:rsidRPr="007A00AE">
        <w:rPr>
          <w:b/>
          <w:bCs/>
          <w:szCs w:val="24"/>
        </w:rPr>
        <w:t xml:space="preserve"> gegeben</w:t>
      </w:r>
      <w:r w:rsidRPr="00DF3763">
        <w:rPr>
          <w:szCs w:val="24"/>
        </w:rPr>
        <w:t>, vor allem auf gesetzgeberische</w:t>
      </w:r>
      <w:r w:rsidR="00122804">
        <w:rPr>
          <w:szCs w:val="24"/>
        </w:rPr>
        <w:t>m</w:t>
      </w:r>
      <w:r w:rsidRPr="00DF3763">
        <w:rPr>
          <w:szCs w:val="24"/>
        </w:rPr>
        <w:t xml:space="preserve"> Gebiet. </w:t>
      </w:r>
      <w:r w:rsidR="00D92198" w:rsidRPr="00DF3763">
        <w:rPr>
          <w:szCs w:val="24"/>
        </w:rPr>
        <w:t xml:space="preserve">Die wichtigste Neuerung stellt das „Osterpaket“ für  Erneuerbare Energien dar, das Anfang April vorgelegt und im Juli im parlamentarischen Verfahren beschlossen wurde. Das Paket beinhaltet Änderungen  an einer Vielzahl von Gesetzen mit dem Ziel, bis 2030 einen Anteil von 80 Prozent Erneuerbarer  Energien an einem auf 750 Terawattstunden gestiegenen Stromverbrauch in Deutschland zu erreichen.   </w:t>
      </w:r>
      <w:r w:rsidR="00321B89">
        <w:rPr>
          <w:szCs w:val="24"/>
        </w:rPr>
        <w:t xml:space="preserve">(Siehe dazu </w:t>
      </w:r>
      <w:r w:rsidR="00F11B2F">
        <w:rPr>
          <w:szCs w:val="24"/>
        </w:rPr>
        <w:t xml:space="preserve">meinen </w:t>
      </w:r>
      <w:r w:rsidR="00321B89">
        <w:rPr>
          <w:szCs w:val="24"/>
        </w:rPr>
        <w:t>Energiewende</w:t>
      </w:r>
      <w:r w:rsidR="00F11B2F">
        <w:rPr>
          <w:szCs w:val="24"/>
        </w:rPr>
        <w:t>b</w:t>
      </w:r>
      <w:r w:rsidR="00321B89">
        <w:rPr>
          <w:szCs w:val="24"/>
        </w:rPr>
        <w:t>ericht 22-04)</w:t>
      </w:r>
    </w:p>
    <w:p w14:paraId="02F4A388" w14:textId="0AF0BF2C" w:rsidR="000227C4" w:rsidRPr="00DF3763" w:rsidRDefault="00D92198" w:rsidP="00DF3763">
      <w:pPr>
        <w:pStyle w:val="Listenabsatz"/>
        <w:numPr>
          <w:ilvl w:val="0"/>
          <w:numId w:val="2"/>
        </w:numPr>
        <w:rPr>
          <w:szCs w:val="24"/>
        </w:rPr>
      </w:pPr>
      <w:r w:rsidRPr="00DF3763">
        <w:rPr>
          <w:szCs w:val="24"/>
        </w:rPr>
        <w:t xml:space="preserve">Außerdem einigten sich die Bundesregierung, die  Landesregierung Nordrhein-Westfalens und das  Energieunternehmen RWE im Oktober auf einen </w:t>
      </w:r>
      <w:r w:rsidRPr="007A00AE">
        <w:rPr>
          <w:b/>
          <w:bCs/>
          <w:szCs w:val="24"/>
        </w:rPr>
        <w:t>auf  das Jahr 2030 vorgezogenen Braunkohleausstieg im Rheinischen Revier</w:t>
      </w:r>
      <w:r w:rsidRPr="00DF3763">
        <w:rPr>
          <w:szCs w:val="24"/>
        </w:rPr>
        <w:t xml:space="preserve"> bei gleichzeitiger Verlängerung  der Betriebszeit der Braunkohle-Kraftwerksblöcke Neurath D und E bis zum Frühjahr 2024</w:t>
      </w:r>
      <w:r w:rsidR="00F73151">
        <w:rPr>
          <w:szCs w:val="24"/>
        </w:rPr>
        <w:t>.</w:t>
      </w:r>
      <w:r w:rsidRPr="00DF3763">
        <w:rPr>
          <w:szCs w:val="24"/>
        </w:rPr>
        <w:t xml:space="preserve"> </w:t>
      </w:r>
    </w:p>
    <w:p w14:paraId="465EB1FA" w14:textId="045CCD1D" w:rsidR="007A00AE" w:rsidRDefault="00D92198" w:rsidP="00DF3763">
      <w:pPr>
        <w:pStyle w:val="Listenabsatz"/>
        <w:numPr>
          <w:ilvl w:val="0"/>
          <w:numId w:val="2"/>
        </w:numPr>
        <w:rPr>
          <w:szCs w:val="24"/>
        </w:rPr>
      </w:pPr>
      <w:r w:rsidRPr="007A00AE">
        <w:rPr>
          <w:b/>
          <w:bCs/>
          <w:szCs w:val="24"/>
        </w:rPr>
        <w:t>Im Gebäudesektor</w:t>
      </w:r>
      <w:r w:rsidRPr="00DF3763">
        <w:rPr>
          <w:szCs w:val="24"/>
        </w:rPr>
        <w:t xml:space="preserve"> wurden bisher trotz seines großen Anteils am Erdgasverbrauch und des wiederholten  Nichteinhaltens der Sektor</w:t>
      </w:r>
      <w:r w:rsidR="00F73151">
        <w:rPr>
          <w:szCs w:val="24"/>
        </w:rPr>
        <w:t>-Z</w:t>
      </w:r>
      <w:r w:rsidRPr="00DF3763">
        <w:rPr>
          <w:szCs w:val="24"/>
        </w:rPr>
        <w:t xml:space="preserve">iele </w:t>
      </w:r>
      <w:r w:rsidR="00122804">
        <w:rPr>
          <w:szCs w:val="24"/>
        </w:rPr>
        <w:t>des</w:t>
      </w:r>
      <w:r w:rsidRPr="00DF3763">
        <w:rPr>
          <w:szCs w:val="24"/>
        </w:rPr>
        <w:t xml:space="preserve"> Klimaschutzgesetz</w:t>
      </w:r>
      <w:r w:rsidR="00F73151">
        <w:rPr>
          <w:szCs w:val="24"/>
        </w:rPr>
        <w:t>es</w:t>
      </w:r>
      <w:r w:rsidRPr="00DF3763">
        <w:rPr>
          <w:szCs w:val="24"/>
        </w:rPr>
        <w:t xml:space="preserve"> kaum strukturelle Reformmaßnahmen  auf den Weg gebracht. Erfolgt ist </w:t>
      </w:r>
      <w:r w:rsidR="00D01881" w:rsidRPr="00DF3763">
        <w:rPr>
          <w:szCs w:val="24"/>
        </w:rPr>
        <w:t xml:space="preserve">allerdings </w:t>
      </w:r>
      <w:r w:rsidRPr="00DF3763">
        <w:rPr>
          <w:szCs w:val="24"/>
        </w:rPr>
        <w:t>eine Neuordnung  der Förderlandschaft für Gebäude und Wärmenetze  mit einem stärkeren Fokus auf die Gebäudesanierung</w:t>
      </w:r>
      <w:r w:rsidR="001F1A8F">
        <w:rPr>
          <w:szCs w:val="24"/>
        </w:rPr>
        <w:t xml:space="preserve"> sowie</w:t>
      </w:r>
      <w:r w:rsidRPr="00DF3763">
        <w:rPr>
          <w:szCs w:val="24"/>
        </w:rPr>
        <w:t xml:space="preserve"> die Beendigung der direkten und steuerlichen  Förderung von Gasheizungen und eine begrenzte ordnungsrechtliche Verschärfung der Neubaustandards durch eine kleine Novelle des Gebäudeenergiegesetzes (GEG), welche die Anforderungen an den  Primärenergieverbrauch neuer Gebäude auf das  Niveau des Effizienzhausstandards 55 anhebt.  Außerdem trat das schon vor der Krise geplante  Bundesförderprogramm Effiziente Wärmenetze  (BEW) im September 2022 in Kraft, ausgestattet mit  knapp drei Milliarden Euro bis 2030. Es fördert die Umstellung von Wärmenetzen auf </w:t>
      </w:r>
      <w:r w:rsidR="001F1A8F">
        <w:rPr>
          <w:szCs w:val="24"/>
        </w:rPr>
        <w:t>e</w:t>
      </w:r>
      <w:r w:rsidRPr="00DF3763">
        <w:rPr>
          <w:szCs w:val="24"/>
        </w:rPr>
        <w:t xml:space="preserve">rneuerbare  Energien und Abwärme sowie den Neubau von Wärmenetzen mit mindestens 75 Prozent Einspeisung aus erneuerbarer Wärme und  unvermeidbarer Abwärme.  </w:t>
      </w:r>
    </w:p>
    <w:p w14:paraId="2604E361" w14:textId="0B46B3D2" w:rsidR="00912F75" w:rsidRDefault="007A00AE" w:rsidP="00DF3763">
      <w:pPr>
        <w:pStyle w:val="Listenabsatz"/>
        <w:numPr>
          <w:ilvl w:val="0"/>
          <w:numId w:val="2"/>
        </w:numPr>
        <w:rPr>
          <w:szCs w:val="24"/>
        </w:rPr>
      </w:pPr>
      <w:r w:rsidRPr="007A00AE">
        <w:rPr>
          <w:b/>
          <w:bCs/>
          <w:szCs w:val="24"/>
        </w:rPr>
        <w:t>Mankos bezüglich</w:t>
      </w:r>
      <w:r>
        <w:rPr>
          <w:b/>
          <w:bCs/>
          <w:szCs w:val="24"/>
        </w:rPr>
        <w:t xml:space="preserve"> </w:t>
      </w:r>
      <w:r w:rsidRPr="007A00AE">
        <w:rPr>
          <w:b/>
          <w:bCs/>
          <w:szCs w:val="24"/>
        </w:rPr>
        <w:t>des Gebäudesektors</w:t>
      </w:r>
      <w:r>
        <w:rPr>
          <w:szCs w:val="24"/>
        </w:rPr>
        <w:t xml:space="preserve">: </w:t>
      </w:r>
      <w:r w:rsidR="001F1A8F">
        <w:rPr>
          <w:szCs w:val="24"/>
        </w:rPr>
        <w:t xml:space="preserve">Eine </w:t>
      </w:r>
      <w:r w:rsidR="00D92198" w:rsidRPr="00DF3763">
        <w:rPr>
          <w:szCs w:val="24"/>
        </w:rPr>
        <w:t xml:space="preserve">Reihe politischer Ankündigungen, wie die  Anforderung, dass neue Heizungen mindestens 65 Prozent Erneuerbare Energien nutzen müssen,  wurden bisher noch nicht als Gesetzesvorschläge vorgelegt. Auch der Prozess zum Beschluss eines Effizienzgesetzes verzögerte sich immer wieder. </w:t>
      </w:r>
    </w:p>
    <w:p w14:paraId="7E325D09" w14:textId="16198D39" w:rsidR="000227C4" w:rsidRPr="00DF3763" w:rsidRDefault="00912F75" w:rsidP="00DF3763">
      <w:pPr>
        <w:pStyle w:val="Listenabsatz"/>
        <w:numPr>
          <w:ilvl w:val="0"/>
          <w:numId w:val="2"/>
        </w:numPr>
        <w:rPr>
          <w:szCs w:val="24"/>
        </w:rPr>
      </w:pPr>
      <w:r>
        <w:rPr>
          <w:szCs w:val="24"/>
        </w:rPr>
        <w:t>Auch f</w:t>
      </w:r>
      <w:r w:rsidR="00D92198" w:rsidRPr="00DF3763">
        <w:rPr>
          <w:szCs w:val="24"/>
        </w:rPr>
        <w:t xml:space="preserve">ür die </w:t>
      </w:r>
      <w:r w:rsidR="00D92198" w:rsidRPr="00912F75">
        <w:rPr>
          <w:b/>
          <w:bCs/>
          <w:szCs w:val="24"/>
        </w:rPr>
        <w:t>Transformation der Industrie</w:t>
      </w:r>
      <w:r w:rsidR="00D92198" w:rsidRPr="00DF3763">
        <w:rPr>
          <w:szCs w:val="24"/>
        </w:rPr>
        <w:t xml:space="preserve"> wurden kaum  bindende Maßnahmen beschlossen. Eine Ausnahme stellt die Anforderung dar, dass im Rahmen von Energieaudits identifizierte Einsparmaßnahmen umgesetzt werden müssen. </w:t>
      </w:r>
    </w:p>
    <w:p w14:paraId="7F50A6A9" w14:textId="4BE53E27" w:rsidR="00B0387E" w:rsidRPr="006F6D90" w:rsidRDefault="00D01881" w:rsidP="00E05A62">
      <w:pPr>
        <w:pStyle w:val="Listenabsatz"/>
        <w:numPr>
          <w:ilvl w:val="0"/>
          <w:numId w:val="2"/>
        </w:numPr>
        <w:rPr>
          <w:b/>
          <w:bCs/>
          <w:color w:val="FF0000"/>
          <w:sz w:val="26"/>
          <w:szCs w:val="26"/>
        </w:rPr>
      </w:pPr>
      <w:r w:rsidRPr="00947D15">
        <w:rPr>
          <w:szCs w:val="24"/>
        </w:rPr>
        <w:t>T</w:t>
      </w:r>
      <w:r w:rsidR="00D92198" w:rsidRPr="00947D15">
        <w:rPr>
          <w:szCs w:val="24"/>
        </w:rPr>
        <w:t xml:space="preserve">rotz </w:t>
      </w:r>
      <w:r w:rsidR="00DF3763" w:rsidRPr="00947D15">
        <w:rPr>
          <w:szCs w:val="24"/>
        </w:rPr>
        <w:t xml:space="preserve">all </w:t>
      </w:r>
      <w:r w:rsidR="00D92198" w:rsidRPr="00947D15">
        <w:rPr>
          <w:szCs w:val="24"/>
        </w:rPr>
        <w:t xml:space="preserve">dieser </w:t>
      </w:r>
      <w:r w:rsidR="00D92198" w:rsidRPr="00947D15">
        <w:rPr>
          <w:b/>
          <w:bCs/>
          <w:szCs w:val="24"/>
        </w:rPr>
        <w:t xml:space="preserve">Fortschritte bleiben </w:t>
      </w:r>
      <w:r w:rsidR="001F1A8F">
        <w:rPr>
          <w:b/>
          <w:bCs/>
          <w:szCs w:val="24"/>
        </w:rPr>
        <w:t xml:space="preserve">also </w:t>
      </w:r>
      <w:r w:rsidR="007A00AE" w:rsidRPr="00947D15">
        <w:rPr>
          <w:b/>
          <w:bCs/>
          <w:szCs w:val="24"/>
        </w:rPr>
        <w:t xml:space="preserve">insgesamt </w:t>
      </w:r>
      <w:r w:rsidR="00912F75">
        <w:rPr>
          <w:b/>
          <w:bCs/>
          <w:szCs w:val="24"/>
        </w:rPr>
        <w:t>i</w:t>
      </w:r>
      <w:r w:rsidR="00122804">
        <w:rPr>
          <w:b/>
          <w:bCs/>
          <w:szCs w:val="24"/>
        </w:rPr>
        <w:t>m</w:t>
      </w:r>
      <w:r w:rsidR="00912F75">
        <w:rPr>
          <w:b/>
          <w:bCs/>
          <w:szCs w:val="24"/>
        </w:rPr>
        <w:t xml:space="preserve"> deutschen Energiewende-Prozess </w:t>
      </w:r>
      <w:r w:rsidR="008A4161">
        <w:rPr>
          <w:b/>
          <w:bCs/>
          <w:szCs w:val="24"/>
        </w:rPr>
        <w:t xml:space="preserve">des Jahres 2022 </w:t>
      </w:r>
      <w:r w:rsidR="00D92198" w:rsidRPr="00947D15">
        <w:rPr>
          <w:b/>
          <w:bCs/>
          <w:szCs w:val="24"/>
        </w:rPr>
        <w:t>große Leerstellen</w:t>
      </w:r>
      <w:r w:rsidR="00D92198" w:rsidRPr="00947D15">
        <w:rPr>
          <w:szCs w:val="24"/>
        </w:rPr>
        <w:t xml:space="preserve">. Insbesondere der </w:t>
      </w:r>
      <w:r w:rsidR="00321B89">
        <w:rPr>
          <w:szCs w:val="24"/>
        </w:rPr>
        <w:t xml:space="preserve">im Koalitionsvertrag vereinbarte </w:t>
      </w:r>
      <w:r w:rsidR="00321B89">
        <w:rPr>
          <w:szCs w:val="24"/>
        </w:rPr>
        <w:lastRenderedPageBreak/>
        <w:t xml:space="preserve">Beschluss </w:t>
      </w:r>
      <w:r w:rsidR="00D92198" w:rsidRPr="00947D15">
        <w:rPr>
          <w:szCs w:val="24"/>
        </w:rPr>
        <w:t>bis Ende 2022  ein „</w:t>
      </w:r>
      <w:r w:rsidR="00D92198" w:rsidRPr="00F9380B">
        <w:rPr>
          <w:b/>
          <w:bCs/>
          <w:szCs w:val="24"/>
        </w:rPr>
        <w:t>Klimaschutzsofortprogramm</w:t>
      </w:r>
      <w:r w:rsidR="00D92198" w:rsidRPr="00947D15">
        <w:rPr>
          <w:szCs w:val="24"/>
        </w:rPr>
        <w:t xml:space="preserve"> mit allen notwendigen Gesetzen und Vorhaben“ auf den Weg zu  bringen und abzuschließen wurde von der Koalition  2022 nicht umgesetzt.  </w:t>
      </w:r>
      <w:r w:rsidR="00E556B9">
        <w:rPr>
          <w:szCs w:val="24"/>
        </w:rPr>
        <w:t xml:space="preserve">(Siehe dazu </w:t>
      </w:r>
      <w:r w:rsidR="00F11B2F">
        <w:rPr>
          <w:szCs w:val="24"/>
        </w:rPr>
        <w:t>meinen</w:t>
      </w:r>
      <w:r w:rsidR="00E556B9">
        <w:rPr>
          <w:szCs w:val="24"/>
        </w:rPr>
        <w:t xml:space="preserve"> Energiewende</w:t>
      </w:r>
      <w:r w:rsidR="00F11B2F">
        <w:rPr>
          <w:szCs w:val="24"/>
        </w:rPr>
        <w:t>b</w:t>
      </w:r>
      <w:r w:rsidR="00E556B9">
        <w:rPr>
          <w:szCs w:val="24"/>
        </w:rPr>
        <w:t>ericht 21</w:t>
      </w:r>
      <w:r w:rsidR="00F92BF8">
        <w:rPr>
          <w:szCs w:val="24"/>
        </w:rPr>
        <w:t>-</w:t>
      </w:r>
      <w:r w:rsidR="00E556B9">
        <w:rPr>
          <w:szCs w:val="24"/>
        </w:rPr>
        <w:t xml:space="preserve">06, Punkt 2.) </w:t>
      </w:r>
      <w:r w:rsidR="00D92198" w:rsidRPr="00947D15">
        <w:rPr>
          <w:szCs w:val="24"/>
        </w:rPr>
        <w:t xml:space="preserve">Auch das angekündigte „Sommerpaket“ </w:t>
      </w:r>
      <w:r w:rsidR="005747AB">
        <w:rPr>
          <w:szCs w:val="24"/>
        </w:rPr>
        <w:t xml:space="preserve">(siehe </w:t>
      </w:r>
      <w:r w:rsidR="00F11B2F">
        <w:rPr>
          <w:szCs w:val="24"/>
        </w:rPr>
        <w:t>meinen</w:t>
      </w:r>
      <w:r w:rsidR="005747AB">
        <w:rPr>
          <w:szCs w:val="24"/>
        </w:rPr>
        <w:t xml:space="preserve"> Energiewende</w:t>
      </w:r>
      <w:r w:rsidR="00F11B2F">
        <w:rPr>
          <w:szCs w:val="24"/>
        </w:rPr>
        <w:t>b</w:t>
      </w:r>
      <w:r w:rsidR="005747AB">
        <w:rPr>
          <w:szCs w:val="24"/>
        </w:rPr>
        <w:t>ericht 22</w:t>
      </w:r>
      <w:r w:rsidR="00F92BF8">
        <w:rPr>
          <w:szCs w:val="24"/>
        </w:rPr>
        <w:t>-</w:t>
      </w:r>
      <w:r w:rsidR="005747AB">
        <w:rPr>
          <w:szCs w:val="24"/>
        </w:rPr>
        <w:t xml:space="preserve">02, Punkt 4) </w:t>
      </w:r>
      <w:r w:rsidR="00D92198" w:rsidRPr="00947D15">
        <w:rPr>
          <w:szCs w:val="24"/>
        </w:rPr>
        <w:t xml:space="preserve">mit mittelfristig wirksamen Maßnahmen zur Beschleunigung  der Energiewende wurde nur in Teilen vorgelegt und beschlossen. Somit besteht </w:t>
      </w:r>
      <w:r w:rsidR="00122804">
        <w:rPr>
          <w:szCs w:val="24"/>
        </w:rPr>
        <w:t xml:space="preserve">im energiepolitischen Handeln </w:t>
      </w:r>
      <w:r w:rsidR="00D92198" w:rsidRPr="00947D15">
        <w:rPr>
          <w:szCs w:val="24"/>
        </w:rPr>
        <w:t xml:space="preserve">zwischen Zielen und Maßnahmen auch am Ende des Jahres 2022 eine signifikante Lücke. </w:t>
      </w:r>
    </w:p>
    <w:p w14:paraId="05CA4CE6" w14:textId="6D13D8B6" w:rsidR="006F6D90" w:rsidRPr="00B0387E" w:rsidRDefault="006F6D90" w:rsidP="00E05A62">
      <w:pPr>
        <w:pStyle w:val="Listenabsatz"/>
        <w:numPr>
          <w:ilvl w:val="0"/>
          <w:numId w:val="2"/>
        </w:numPr>
        <w:rPr>
          <w:b/>
          <w:bCs/>
          <w:color w:val="FF0000"/>
          <w:sz w:val="26"/>
          <w:szCs w:val="26"/>
        </w:rPr>
      </w:pPr>
      <w:r>
        <w:rPr>
          <w:bCs/>
          <w:szCs w:val="26"/>
        </w:rPr>
        <w:t>Erwähnt sei hier</w:t>
      </w:r>
      <w:r w:rsidR="00B2671A">
        <w:rPr>
          <w:bCs/>
          <w:szCs w:val="26"/>
        </w:rPr>
        <w:t xml:space="preserve"> auch</w:t>
      </w:r>
      <w:r>
        <w:rPr>
          <w:bCs/>
          <w:szCs w:val="26"/>
        </w:rPr>
        <w:t xml:space="preserve">, dass der Agora-Bericht auch wesentliche Ausführungen zu energiepolitischen Situation </w:t>
      </w:r>
      <w:r w:rsidRPr="008A563F">
        <w:rPr>
          <w:b/>
          <w:szCs w:val="26"/>
        </w:rPr>
        <w:t>Europas</w:t>
      </w:r>
      <w:r>
        <w:rPr>
          <w:bCs/>
          <w:szCs w:val="26"/>
        </w:rPr>
        <w:t xml:space="preserve"> enthält. Diesbezüglich verweise ich auf meine Energiewende-Berichte des Jahres 2022</w:t>
      </w:r>
      <w:r w:rsidR="00B2671A">
        <w:rPr>
          <w:bCs/>
          <w:szCs w:val="26"/>
        </w:rPr>
        <w:t>, zum Beispiel auf den Bericht für den Monat Dezember</w:t>
      </w:r>
      <w:r>
        <w:rPr>
          <w:bCs/>
          <w:szCs w:val="26"/>
        </w:rPr>
        <w:t>.</w:t>
      </w:r>
    </w:p>
    <w:p w14:paraId="0935B34C" w14:textId="77777777" w:rsidR="00B0387E" w:rsidRPr="00B0387E" w:rsidRDefault="00B0387E" w:rsidP="00B0387E">
      <w:pPr>
        <w:pStyle w:val="Listenabsatz"/>
        <w:ind w:left="360"/>
        <w:rPr>
          <w:b/>
          <w:bCs/>
          <w:color w:val="FF0000"/>
          <w:sz w:val="26"/>
          <w:szCs w:val="26"/>
        </w:rPr>
      </w:pPr>
    </w:p>
    <w:p w14:paraId="2D80B403" w14:textId="10BF7D7E" w:rsidR="00D92198" w:rsidRPr="00947D15" w:rsidRDefault="00B0387E" w:rsidP="00B0387E">
      <w:pPr>
        <w:pStyle w:val="Listenabsatz"/>
        <w:ind w:left="360"/>
        <w:rPr>
          <w:b/>
          <w:bCs/>
          <w:color w:val="FF0000"/>
          <w:sz w:val="26"/>
          <w:szCs w:val="26"/>
        </w:rPr>
      </w:pPr>
      <w:r>
        <w:rPr>
          <w:szCs w:val="24"/>
        </w:rPr>
        <w:t>----------------------------------------------------------------------------------------------------------------------</w:t>
      </w:r>
      <w:r w:rsidR="00D92198" w:rsidRPr="00947D15">
        <w:rPr>
          <w:szCs w:val="24"/>
        </w:rPr>
        <w:t xml:space="preserve">   </w:t>
      </w:r>
    </w:p>
    <w:p w14:paraId="72526CB7" w14:textId="77777777" w:rsidR="00947D15" w:rsidRPr="00947D15" w:rsidRDefault="00947D15" w:rsidP="00947D15">
      <w:pPr>
        <w:pStyle w:val="Listenabsatz"/>
        <w:ind w:left="502"/>
        <w:rPr>
          <w:b/>
          <w:bCs/>
          <w:color w:val="FF0000"/>
          <w:sz w:val="26"/>
          <w:szCs w:val="26"/>
        </w:rPr>
      </w:pPr>
    </w:p>
    <w:p w14:paraId="1D3E0824" w14:textId="4895B6BE" w:rsidR="00B0387E" w:rsidRPr="005C3291" w:rsidRDefault="005C3291" w:rsidP="005C3291">
      <w:pPr>
        <w:tabs>
          <w:tab w:val="left" w:pos="1630"/>
          <w:tab w:val="center" w:pos="4716"/>
        </w:tabs>
        <w:autoSpaceDE w:val="0"/>
        <w:autoSpaceDN w:val="0"/>
        <w:adjustRightInd w:val="0"/>
        <w:spacing w:after="0" w:line="240" w:lineRule="auto"/>
        <w:ind w:left="360"/>
        <w:rPr>
          <w:b/>
          <w:color w:val="FF0000"/>
          <w:sz w:val="28"/>
          <w:szCs w:val="28"/>
        </w:rPr>
      </w:pPr>
      <w:r w:rsidRPr="005C3291">
        <w:rPr>
          <w:b/>
          <w:color w:val="FF0000"/>
          <w:sz w:val="28"/>
          <w:szCs w:val="28"/>
        </w:rPr>
        <w:tab/>
      </w:r>
      <w:r w:rsidRPr="005C3291">
        <w:rPr>
          <w:b/>
          <w:color w:val="FF0000"/>
          <w:sz w:val="28"/>
          <w:szCs w:val="28"/>
        </w:rPr>
        <w:tab/>
      </w:r>
      <w:r w:rsidR="00B0387E" w:rsidRPr="005C3291">
        <w:rPr>
          <w:b/>
          <w:color w:val="FF0000"/>
          <w:sz w:val="28"/>
          <w:szCs w:val="28"/>
        </w:rPr>
        <w:t>LITERATUR</w:t>
      </w:r>
    </w:p>
    <w:p w14:paraId="5EC65802" w14:textId="77777777" w:rsidR="00CE50C6" w:rsidRDefault="00CE50C6" w:rsidP="00B0387E">
      <w:pPr>
        <w:autoSpaceDE w:val="0"/>
        <w:autoSpaceDN w:val="0"/>
        <w:adjustRightInd w:val="0"/>
        <w:spacing w:after="0" w:line="240" w:lineRule="auto"/>
        <w:ind w:left="360"/>
        <w:jc w:val="center"/>
        <w:rPr>
          <w:b/>
          <w:color w:val="FF0000"/>
          <w:sz w:val="28"/>
          <w:szCs w:val="28"/>
          <w:u w:val="single"/>
        </w:rPr>
      </w:pPr>
    </w:p>
    <w:p w14:paraId="017406D2" w14:textId="7C1F3DF9" w:rsidR="00CE50C6" w:rsidRPr="00CE50C6" w:rsidRDefault="00B94C54" w:rsidP="00CE50C6">
      <w:pPr>
        <w:spacing w:before="100" w:beforeAutospacing="1" w:after="100" w:afterAutospacing="1" w:line="240" w:lineRule="auto"/>
        <w:outlineLvl w:val="0"/>
        <w:rPr>
          <w:rFonts w:ascii="Times New Roman" w:eastAsia="Times New Roman" w:hAnsi="Times New Roman" w:cs="Times New Roman"/>
          <w:b/>
          <w:bCs/>
          <w:kern w:val="36"/>
          <w:szCs w:val="24"/>
          <w:lang w:eastAsia="de-DE"/>
        </w:rPr>
      </w:pPr>
      <w:r>
        <w:rPr>
          <w:rFonts w:ascii="Times New Roman" w:eastAsia="Times New Roman" w:hAnsi="Times New Roman" w:cs="Times New Roman"/>
          <w:b/>
          <w:bCs/>
          <w:kern w:val="36"/>
          <w:szCs w:val="24"/>
          <w:lang w:eastAsia="de-DE"/>
        </w:rPr>
        <w:t>Agora Energiewende: „</w:t>
      </w:r>
      <w:r w:rsidR="00CE50C6" w:rsidRPr="00CE50C6">
        <w:rPr>
          <w:rFonts w:ascii="Times New Roman" w:eastAsia="Times New Roman" w:hAnsi="Times New Roman" w:cs="Times New Roman"/>
          <w:b/>
          <w:bCs/>
          <w:kern w:val="36"/>
          <w:szCs w:val="24"/>
          <w:lang w:eastAsia="de-DE"/>
        </w:rPr>
        <w:t>Die Energiewende in Deutschland: Stand der Dinge 2022</w:t>
      </w:r>
      <w:r>
        <w:rPr>
          <w:rFonts w:ascii="Times New Roman" w:eastAsia="Times New Roman" w:hAnsi="Times New Roman" w:cs="Times New Roman"/>
          <w:b/>
          <w:bCs/>
          <w:kern w:val="36"/>
          <w:szCs w:val="24"/>
          <w:lang w:eastAsia="de-DE"/>
        </w:rPr>
        <w:t>“</w:t>
      </w:r>
      <w:r w:rsidR="00CE50C6" w:rsidRPr="00CE50C6">
        <w:rPr>
          <w:rFonts w:ascii="Times New Roman" w:eastAsia="Times New Roman" w:hAnsi="Times New Roman" w:cs="Times New Roman"/>
          <w:b/>
          <w:bCs/>
          <w:kern w:val="36"/>
          <w:szCs w:val="24"/>
          <w:lang w:eastAsia="de-DE"/>
        </w:rPr>
        <w:t xml:space="preserve"> </w:t>
      </w:r>
    </w:p>
    <w:p w14:paraId="29E9B278" w14:textId="527105CE" w:rsidR="006010BA" w:rsidRDefault="007151ED">
      <w:hyperlink r:id="rId10" w:history="1">
        <w:r w:rsidR="00CE50C6" w:rsidRPr="00CE50C6">
          <w:rPr>
            <w:rStyle w:val="Hyperlink"/>
          </w:rPr>
          <w:t>https://www.agora-energiewende.de/veroeffentlichungen/die-energiewende-in-deutschland-stand-der-dinge-2022/</w:t>
        </w:r>
      </w:hyperlink>
    </w:p>
    <w:p w14:paraId="0570734C" w14:textId="77777777" w:rsidR="006010BA" w:rsidRDefault="006010BA"/>
    <w:p w14:paraId="4603EBF2" w14:textId="77777777" w:rsidR="006010BA" w:rsidRDefault="006010BA"/>
    <w:p w14:paraId="1F7F8BBE" w14:textId="77777777" w:rsidR="006010BA" w:rsidRDefault="006010BA"/>
    <w:p w14:paraId="7B20AFEB" w14:textId="77777777" w:rsidR="006010BA" w:rsidRDefault="006010BA"/>
    <w:p w14:paraId="3009B78B" w14:textId="77777777" w:rsidR="006010BA" w:rsidRDefault="006010BA"/>
    <w:p w14:paraId="7FD31BFF" w14:textId="77777777" w:rsidR="006010BA" w:rsidRDefault="006010BA"/>
    <w:p w14:paraId="60E5F0EF" w14:textId="77777777" w:rsidR="006010BA" w:rsidRDefault="006010BA"/>
    <w:p w14:paraId="7058DEDB" w14:textId="77777777" w:rsidR="006010BA" w:rsidRDefault="006010BA"/>
    <w:p w14:paraId="1C6A7631" w14:textId="77777777" w:rsidR="006010BA" w:rsidRDefault="006010BA"/>
    <w:p w14:paraId="3B44E861" w14:textId="77777777" w:rsidR="006010BA" w:rsidRDefault="006010BA"/>
    <w:p w14:paraId="5D939C04" w14:textId="77777777" w:rsidR="006010BA" w:rsidRDefault="006010BA"/>
    <w:p w14:paraId="02D529F0" w14:textId="77777777" w:rsidR="006010BA" w:rsidRDefault="006010BA"/>
    <w:p w14:paraId="46B67F8E" w14:textId="77777777" w:rsidR="006010BA" w:rsidRDefault="006010BA"/>
    <w:p w14:paraId="62483A3C" w14:textId="77777777" w:rsidR="006010BA" w:rsidRDefault="006010BA"/>
    <w:p w14:paraId="0E80AC16" w14:textId="77777777" w:rsidR="006010BA" w:rsidRDefault="006010BA"/>
    <w:sectPr w:rsidR="006010B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184D" w14:textId="77777777" w:rsidR="007151ED" w:rsidRDefault="007151ED" w:rsidP="00C272FD">
      <w:pPr>
        <w:spacing w:after="0" w:line="240" w:lineRule="auto"/>
      </w:pPr>
      <w:r>
        <w:separator/>
      </w:r>
    </w:p>
  </w:endnote>
  <w:endnote w:type="continuationSeparator" w:id="0">
    <w:p w14:paraId="7B18ED65" w14:textId="77777777" w:rsidR="007151ED" w:rsidRDefault="007151ED" w:rsidP="00C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2154"/>
      <w:docPartObj>
        <w:docPartGallery w:val="Page Numbers (Bottom of Page)"/>
        <w:docPartUnique/>
      </w:docPartObj>
    </w:sdtPr>
    <w:sdtEndPr/>
    <w:sdtContent>
      <w:p w14:paraId="2F79CB55" w14:textId="77777777" w:rsidR="00AC231C" w:rsidRDefault="00AC231C">
        <w:pPr>
          <w:pStyle w:val="Fuzeile"/>
        </w:pPr>
        <w:r>
          <w:rPr>
            <w:noProof/>
          </w:rPr>
          <mc:AlternateContent>
            <mc:Choice Requires="wps">
              <w:drawing>
                <wp:anchor distT="0" distB="0" distL="114300" distR="114300" simplePos="0" relativeHeight="251659264" behindDoc="0" locked="0" layoutInCell="1" allowOverlap="1" wp14:anchorId="5674E234" wp14:editId="5D16B969">
                  <wp:simplePos x="0" y="0"/>
                  <wp:positionH relativeFrom="rightMargin">
                    <wp:align>center</wp:align>
                  </wp:positionH>
                  <wp:positionV relativeFrom="bottomMargin">
                    <wp:align>top</wp:align>
                  </wp:positionV>
                  <wp:extent cx="762000" cy="89535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A97CEDA" w14:textId="77777777" w:rsidR="00AC231C" w:rsidRDefault="00AC231C">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E234" id="Rechteck 8"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GWCbjMCAgAA5A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A97CEDA" w14:textId="77777777" w:rsidR="00AC231C" w:rsidRDefault="00AC231C">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7463" w14:textId="77777777" w:rsidR="007151ED" w:rsidRDefault="007151ED" w:rsidP="00C272FD">
      <w:pPr>
        <w:spacing w:after="0" w:line="240" w:lineRule="auto"/>
      </w:pPr>
      <w:r>
        <w:separator/>
      </w:r>
    </w:p>
  </w:footnote>
  <w:footnote w:type="continuationSeparator" w:id="0">
    <w:p w14:paraId="4E440FF3" w14:textId="77777777" w:rsidR="007151ED" w:rsidRDefault="007151ED" w:rsidP="00C272FD">
      <w:pPr>
        <w:spacing w:after="0" w:line="240" w:lineRule="auto"/>
      </w:pPr>
      <w:r>
        <w:continuationSeparator/>
      </w:r>
    </w:p>
  </w:footnote>
  <w:footnote w:id="1">
    <w:p w14:paraId="56FE5C16" w14:textId="35809444" w:rsidR="00403F0E" w:rsidRDefault="00403F0E">
      <w:pPr>
        <w:pStyle w:val="Funotentext"/>
      </w:pPr>
      <w:r>
        <w:rPr>
          <w:rStyle w:val="Funotenzeichen"/>
        </w:rPr>
        <w:footnoteRef/>
      </w:r>
      <w:r>
        <w:t xml:space="preserve"> </w:t>
      </w:r>
      <w:r w:rsidR="00CE065C">
        <w:t>S</w:t>
      </w:r>
      <w:r>
        <w:t xml:space="preserve">iehe dazu </w:t>
      </w:r>
      <w:r w:rsidR="00F11B2F">
        <w:t xml:space="preserve">meine </w:t>
      </w:r>
      <w:r w:rsidR="00CE065C">
        <w:t>folgende</w:t>
      </w:r>
      <w:r w:rsidR="00F11B2F">
        <w:t>n</w:t>
      </w:r>
      <w:r w:rsidR="00CE065C">
        <w:t xml:space="preserve"> </w:t>
      </w:r>
      <w:r>
        <w:t xml:space="preserve"> Energiewendebericht</w:t>
      </w:r>
      <w:r w:rsidR="00CE065C">
        <w:t>e: ausführlich</w:t>
      </w:r>
      <w:r>
        <w:t xml:space="preserve"> </w:t>
      </w:r>
      <w:r w:rsidR="00CE065C" w:rsidRPr="00CE065C">
        <w:rPr>
          <w:b/>
          <w:bCs/>
          <w:u w:val="single"/>
        </w:rPr>
        <w:t>21</w:t>
      </w:r>
      <w:r w:rsidR="00F92BF8">
        <w:rPr>
          <w:b/>
          <w:bCs/>
          <w:u w:val="single"/>
        </w:rPr>
        <w:t>-</w:t>
      </w:r>
      <w:r w:rsidR="00CE065C" w:rsidRPr="00CE065C">
        <w:rPr>
          <w:b/>
          <w:bCs/>
          <w:u w:val="single"/>
        </w:rPr>
        <w:t>05</w:t>
      </w:r>
      <w:r w:rsidR="00CE065C">
        <w:t xml:space="preserve">; </w:t>
      </w:r>
      <w:r w:rsidRPr="00CE065C">
        <w:rPr>
          <w:b/>
          <w:bCs/>
        </w:rPr>
        <w:t>21</w:t>
      </w:r>
      <w:r w:rsidR="00F92BF8">
        <w:rPr>
          <w:b/>
          <w:bCs/>
        </w:rPr>
        <w:t>-</w:t>
      </w:r>
      <w:r w:rsidRPr="00CE065C">
        <w:rPr>
          <w:b/>
          <w:bCs/>
        </w:rPr>
        <w:t>06</w:t>
      </w:r>
      <w:r w:rsidR="00CE065C">
        <w:t xml:space="preserve">, </w:t>
      </w:r>
      <w:r>
        <w:t>Punkt 1</w:t>
      </w:r>
      <w:r w:rsidR="00CE065C">
        <w:t xml:space="preserve">; </w:t>
      </w:r>
      <w:r w:rsidR="00CE065C" w:rsidRPr="00CE065C">
        <w:rPr>
          <w:b/>
          <w:bCs/>
        </w:rPr>
        <w:t>21</w:t>
      </w:r>
      <w:r w:rsidR="00F92BF8">
        <w:rPr>
          <w:b/>
          <w:bCs/>
        </w:rPr>
        <w:t>-</w:t>
      </w:r>
      <w:r w:rsidR="00CE065C" w:rsidRPr="00CE065C">
        <w:rPr>
          <w:b/>
          <w:bCs/>
        </w:rPr>
        <w:t>09</w:t>
      </w:r>
      <w:r w:rsidR="00CE065C">
        <w:t xml:space="preserve">, Punkt 4 und 6; </w:t>
      </w:r>
      <w:r w:rsidR="00CE065C" w:rsidRPr="00CE065C">
        <w:rPr>
          <w:b/>
          <w:bCs/>
        </w:rPr>
        <w:t>21-12</w:t>
      </w:r>
      <w:r w:rsidR="00CE065C">
        <w:t>, Punkt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11A6" w14:textId="77777777" w:rsidR="00EA105F" w:rsidRDefault="00EA105F" w:rsidP="00EA105F">
    <w:pPr>
      <w:jc w:val="center"/>
      <w:rPr>
        <w:b/>
        <w:bCs/>
        <w:color w:val="00B050"/>
        <w:sz w:val="22"/>
      </w:rPr>
    </w:pPr>
    <w:r>
      <w:rPr>
        <w:b/>
        <w:bCs/>
        <w:color w:val="00B050"/>
        <w:sz w:val="22"/>
      </w:rPr>
      <w:t>V</w:t>
    </w:r>
    <w:r w:rsidRPr="006E7E44">
      <w:rPr>
        <w:b/>
        <w:bCs/>
        <w:color w:val="00B050"/>
        <w:sz w:val="22"/>
      </w:rPr>
      <w:t>olker Brandl (</w:t>
    </w:r>
    <w:hyperlink r:id="rId1" w:history="1">
      <w:r w:rsidRPr="006E7E44">
        <w:rPr>
          <w:rStyle w:val="Hyperlink"/>
          <w:b/>
          <w:bCs/>
          <w:color w:val="00B050"/>
          <w:sz w:val="22"/>
        </w:rPr>
        <w:t>attacvobra@online.de</w:t>
      </w:r>
    </w:hyperlink>
    <w:r w:rsidRPr="006E7E44">
      <w:rPr>
        <w:b/>
        <w:bCs/>
        <w:color w:val="00B050"/>
        <w:sz w:val="22"/>
      </w:rPr>
      <w:t>) –   Attac Karlsruhe</w:t>
    </w:r>
  </w:p>
  <w:p w14:paraId="2D1EE6D8" w14:textId="4CDDFA40" w:rsidR="00EA105F" w:rsidRDefault="00EA105F" w:rsidP="00EA105F">
    <w:pPr>
      <w:pStyle w:val="Kopfzeile"/>
      <w:jc w:val="center"/>
      <w:rPr>
        <w:b/>
        <w:bCs/>
        <w:color w:val="00B050"/>
        <w:sz w:val="22"/>
      </w:rPr>
    </w:pPr>
    <w:r>
      <w:rPr>
        <w:b/>
        <w:bCs/>
        <w:color w:val="00B050"/>
        <w:sz w:val="22"/>
      </w:rPr>
      <w:t>10. 01. 2023</w:t>
    </w:r>
  </w:p>
  <w:p w14:paraId="6048149C" w14:textId="77777777" w:rsidR="00EA105F" w:rsidRDefault="00EA10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C9"/>
    <w:multiLevelType w:val="hybridMultilevel"/>
    <w:tmpl w:val="10F854BC"/>
    <w:lvl w:ilvl="0" w:tplc="384AE1A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 w15:restartNumberingAfterBreak="0">
    <w:nsid w:val="2CEC2450"/>
    <w:multiLevelType w:val="hybridMultilevel"/>
    <w:tmpl w:val="0762A0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357C8A"/>
    <w:multiLevelType w:val="hybridMultilevel"/>
    <w:tmpl w:val="5888E73A"/>
    <w:lvl w:ilvl="0" w:tplc="32541B02">
      <w:start w:val="1"/>
      <w:numFmt w:val="decimal"/>
      <w:lvlText w:val="%1."/>
      <w:lvlJc w:val="left"/>
      <w:pPr>
        <w:ind w:left="360" w:hanging="360"/>
      </w:pPr>
      <w:rPr>
        <w:b/>
        <w:bCs/>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ABC580-278C-49F6-A173-246E25AEE61C}"/>
    <w:docVar w:name="dgnword-eventsink" w:val="2886140592736"/>
  </w:docVars>
  <w:rsids>
    <w:rsidRoot w:val="00A538D7"/>
    <w:rsid w:val="000010A9"/>
    <w:rsid w:val="00003E68"/>
    <w:rsid w:val="000227C4"/>
    <w:rsid w:val="00056640"/>
    <w:rsid w:val="00062DEB"/>
    <w:rsid w:val="000D1A03"/>
    <w:rsid w:val="0010448D"/>
    <w:rsid w:val="00122804"/>
    <w:rsid w:val="00132216"/>
    <w:rsid w:val="00137273"/>
    <w:rsid w:val="0014555C"/>
    <w:rsid w:val="00157F49"/>
    <w:rsid w:val="00160978"/>
    <w:rsid w:val="001D627F"/>
    <w:rsid w:val="001F1A8F"/>
    <w:rsid w:val="001F6F4A"/>
    <w:rsid w:val="00203CA8"/>
    <w:rsid w:val="00220BEC"/>
    <w:rsid w:val="00226ED8"/>
    <w:rsid w:val="00233709"/>
    <w:rsid w:val="00274537"/>
    <w:rsid w:val="00282457"/>
    <w:rsid w:val="0029620E"/>
    <w:rsid w:val="002B24B6"/>
    <w:rsid w:val="002B43F8"/>
    <w:rsid w:val="002E2E5D"/>
    <w:rsid w:val="00305618"/>
    <w:rsid w:val="00314C30"/>
    <w:rsid w:val="003169B8"/>
    <w:rsid w:val="00320845"/>
    <w:rsid w:val="00321B89"/>
    <w:rsid w:val="003344C2"/>
    <w:rsid w:val="00342FCE"/>
    <w:rsid w:val="003A2ED0"/>
    <w:rsid w:val="003A3A78"/>
    <w:rsid w:val="003E4B5A"/>
    <w:rsid w:val="003F1021"/>
    <w:rsid w:val="00403F0E"/>
    <w:rsid w:val="00415B1B"/>
    <w:rsid w:val="0044419E"/>
    <w:rsid w:val="0047025E"/>
    <w:rsid w:val="004741AB"/>
    <w:rsid w:val="00493844"/>
    <w:rsid w:val="00495F6A"/>
    <w:rsid w:val="004A6B80"/>
    <w:rsid w:val="004B7257"/>
    <w:rsid w:val="004C04AE"/>
    <w:rsid w:val="00501F90"/>
    <w:rsid w:val="005139C5"/>
    <w:rsid w:val="00516E40"/>
    <w:rsid w:val="00516E76"/>
    <w:rsid w:val="00531CAE"/>
    <w:rsid w:val="00554D82"/>
    <w:rsid w:val="005747AB"/>
    <w:rsid w:val="0058771C"/>
    <w:rsid w:val="00587E1D"/>
    <w:rsid w:val="005B15FE"/>
    <w:rsid w:val="005B2920"/>
    <w:rsid w:val="005C3291"/>
    <w:rsid w:val="005E1766"/>
    <w:rsid w:val="006010BA"/>
    <w:rsid w:val="00604EA7"/>
    <w:rsid w:val="00607B9D"/>
    <w:rsid w:val="00610160"/>
    <w:rsid w:val="006112B7"/>
    <w:rsid w:val="00622D95"/>
    <w:rsid w:val="0063370B"/>
    <w:rsid w:val="00657B11"/>
    <w:rsid w:val="0069090A"/>
    <w:rsid w:val="006A46DE"/>
    <w:rsid w:val="006A777C"/>
    <w:rsid w:val="006B0C4F"/>
    <w:rsid w:val="006B7A5F"/>
    <w:rsid w:val="006E0005"/>
    <w:rsid w:val="006E620C"/>
    <w:rsid w:val="006F580C"/>
    <w:rsid w:val="006F6D90"/>
    <w:rsid w:val="007061C8"/>
    <w:rsid w:val="007151ED"/>
    <w:rsid w:val="00726FA4"/>
    <w:rsid w:val="007719BF"/>
    <w:rsid w:val="00785A2C"/>
    <w:rsid w:val="0078668E"/>
    <w:rsid w:val="00790C2F"/>
    <w:rsid w:val="007A00AE"/>
    <w:rsid w:val="007B367A"/>
    <w:rsid w:val="007D76BF"/>
    <w:rsid w:val="007D7AB7"/>
    <w:rsid w:val="008110E2"/>
    <w:rsid w:val="00817D51"/>
    <w:rsid w:val="008334B1"/>
    <w:rsid w:val="00837FE6"/>
    <w:rsid w:val="00844141"/>
    <w:rsid w:val="00845EFF"/>
    <w:rsid w:val="00864420"/>
    <w:rsid w:val="008664A2"/>
    <w:rsid w:val="00871947"/>
    <w:rsid w:val="008948E7"/>
    <w:rsid w:val="008A4161"/>
    <w:rsid w:val="008A563F"/>
    <w:rsid w:val="008C25F5"/>
    <w:rsid w:val="008D58F5"/>
    <w:rsid w:val="008F7587"/>
    <w:rsid w:val="00903832"/>
    <w:rsid w:val="009103C1"/>
    <w:rsid w:val="00912F75"/>
    <w:rsid w:val="00937F6E"/>
    <w:rsid w:val="00947D15"/>
    <w:rsid w:val="009853F6"/>
    <w:rsid w:val="00987179"/>
    <w:rsid w:val="00993CCD"/>
    <w:rsid w:val="009A0410"/>
    <w:rsid w:val="009C7BEF"/>
    <w:rsid w:val="009E1EE6"/>
    <w:rsid w:val="009E3FB6"/>
    <w:rsid w:val="00A24D2C"/>
    <w:rsid w:val="00A538D7"/>
    <w:rsid w:val="00A72953"/>
    <w:rsid w:val="00A72B3F"/>
    <w:rsid w:val="00A92449"/>
    <w:rsid w:val="00A9582D"/>
    <w:rsid w:val="00A967D7"/>
    <w:rsid w:val="00AA3433"/>
    <w:rsid w:val="00AB1504"/>
    <w:rsid w:val="00AC231C"/>
    <w:rsid w:val="00AF6A92"/>
    <w:rsid w:val="00B0387E"/>
    <w:rsid w:val="00B134AC"/>
    <w:rsid w:val="00B23D84"/>
    <w:rsid w:val="00B2671A"/>
    <w:rsid w:val="00B37149"/>
    <w:rsid w:val="00B56CB3"/>
    <w:rsid w:val="00B70A9C"/>
    <w:rsid w:val="00B7158E"/>
    <w:rsid w:val="00B819C7"/>
    <w:rsid w:val="00B94C54"/>
    <w:rsid w:val="00BA0CAA"/>
    <w:rsid w:val="00BB246A"/>
    <w:rsid w:val="00BE5B68"/>
    <w:rsid w:val="00BE7AAD"/>
    <w:rsid w:val="00BF375F"/>
    <w:rsid w:val="00BF496F"/>
    <w:rsid w:val="00C03840"/>
    <w:rsid w:val="00C03AB6"/>
    <w:rsid w:val="00C17AF8"/>
    <w:rsid w:val="00C272FD"/>
    <w:rsid w:val="00C40610"/>
    <w:rsid w:val="00C67A09"/>
    <w:rsid w:val="00C760CC"/>
    <w:rsid w:val="00C87E2B"/>
    <w:rsid w:val="00C95ECB"/>
    <w:rsid w:val="00C961C2"/>
    <w:rsid w:val="00CC472F"/>
    <w:rsid w:val="00CD0420"/>
    <w:rsid w:val="00CD53E9"/>
    <w:rsid w:val="00CE065C"/>
    <w:rsid w:val="00CE50C6"/>
    <w:rsid w:val="00D00BAC"/>
    <w:rsid w:val="00D01881"/>
    <w:rsid w:val="00D75641"/>
    <w:rsid w:val="00D92198"/>
    <w:rsid w:val="00DA729C"/>
    <w:rsid w:val="00DB232D"/>
    <w:rsid w:val="00DB4236"/>
    <w:rsid w:val="00DC4A47"/>
    <w:rsid w:val="00DF3763"/>
    <w:rsid w:val="00E03FA6"/>
    <w:rsid w:val="00E1488E"/>
    <w:rsid w:val="00E34EB7"/>
    <w:rsid w:val="00E36962"/>
    <w:rsid w:val="00E36ADC"/>
    <w:rsid w:val="00E54B31"/>
    <w:rsid w:val="00E556B9"/>
    <w:rsid w:val="00E675DC"/>
    <w:rsid w:val="00E96756"/>
    <w:rsid w:val="00EA105F"/>
    <w:rsid w:val="00EA6881"/>
    <w:rsid w:val="00EA741D"/>
    <w:rsid w:val="00EB5C6D"/>
    <w:rsid w:val="00EE1CAB"/>
    <w:rsid w:val="00EF2153"/>
    <w:rsid w:val="00EF35C6"/>
    <w:rsid w:val="00F11B2F"/>
    <w:rsid w:val="00F213A2"/>
    <w:rsid w:val="00F4462E"/>
    <w:rsid w:val="00F524A4"/>
    <w:rsid w:val="00F52FB6"/>
    <w:rsid w:val="00F544E6"/>
    <w:rsid w:val="00F73151"/>
    <w:rsid w:val="00F74AF4"/>
    <w:rsid w:val="00F92BF8"/>
    <w:rsid w:val="00F9380B"/>
    <w:rsid w:val="00FA503A"/>
    <w:rsid w:val="00FB171C"/>
    <w:rsid w:val="00FB2027"/>
    <w:rsid w:val="00FD19F0"/>
    <w:rsid w:val="00FD3357"/>
    <w:rsid w:val="00FF0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9236"/>
  <w15:chartTrackingRefBased/>
  <w15:docId w15:val="{A0AB9DEF-791D-49D5-AD59-FFEEE71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B7A5F"/>
  </w:style>
  <w:style w:type="paragraph" w:styleId="berschrift1">
    <w:name w:val="heading 1"/>
    <w:basedOn w:val="Standard"/>
    <w:link w:val="berschrift1Zchn"/>
    <w:uiPriority w:val="9"/>
    <w:qFormat/>
    <w:rsid w:val="00CE5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272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72FD"/>
    <w:rPr>
      <w:sz w:val="20"/>
      <w:szCs w:val="20"/>
    </w:rPr>
  </w:style>
  <w:style w:type="character" w:styleId="Funotenzeichen">
    <w:name w:val="footnote reference"/>
    <w:basedOn w:val="Absatz-Standardschriftart"/>
    <w:uiPriority w:val="99"/>
    <w:semiHidden/>
    <w:unhideWhenUsed/>
    <w:rsid w:val="00C272FD"/>
    <w:rPr>
      <w:vertAlign w:val="superscript"/>
    </w:rPr>
  </w:style>
  <w:style w:type="paragraph" w:styleId="Listenabsatz">
    <w:name w:val="List Paragraph"/>
    <w:basedOn w:val="Standard"/>
    <w:uiPriority w:val="34"/>
    <w:qFormat/>
    <w:rsid w:val="006112B7"/>
    <w:pPr>
      <w:ind w:left="720"/>
      <w:contextualSpacing/>
    </w:pPr>
  </w:style>
  <w:style w:type="paragraph" w:styleId="Kopfzeile">
    <w:name w:val="header"/>
    <w:basedOn w:val="Standard"/>
    <w:link w:val="KopfzeileZchn"/>
    <w:uiPriority w:val="99"/>
    <w:unhideWhenUsed/>
    <w:rsid w:val="00611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2B7"/>
  </w:style>
  <w:style w:type="paragraph" w:styleId="Fuzeile">
    <w:name w:val="footer"/>
    <w:basedOn w:val="Standard"/>
    <w:link w:val="FuzeileZchn"/>
    <w:uiPriority w:val="99"/>
    <w:unhideWhenUsed/>
    <w:rsid w:val="00611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2B7"/>
  </w:style>
  <w:style w:type="character" w:styleId="Hyperlink">
    <w:name w:val="Hyperlink"/>
    <w:basedOn w:val="Absatz-Standardschriftart"/>
    <w:uiPriority w:val="99"/>
    <w:unhideWhenUsed/>
    <w:rsid w:val="00B0387E"/>
    <w:rPr>
      <w:color w:val="0563C1" w:themeColor="hyperlink"/>
      <w:u w:val="single"/>
    </w:rPr>
  </w:style>
  <w:style w:type="character" w:customStyle="1" w:styleId="berschrift1Zchn">
    <w:name w:val="Überschrift 1 Zchn"/>
    <w:basedOn w:val="Absatz-Standardschriftart"/>
    <w:link w:val="berschrift1"/>
    <w:uiPriority w:val="9"/>
    <w:rsid w:val="00CE50C6"/>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CE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535">
      <w:bodyDiv w:val="1"/>
      <w:marLeft w:val="0"/>
      <w:marRight w:val="0"/>
      <w:marTop w:val="0"/>
      <w:marBottom w:val="0"/>
      <w:divBdr>
        <w:top w:val="none" w:sz="0" w:space="0" w:color="auto"/>
        <w:left w:val="none" w:sz="0" w:space="0" w:color="auto"/>
        <w:bottom w:val="none" w:sz="0" w:space="0" w:color="auto"/>
        <w:right w:val="none" w:sz="0" w:space="0" w:color="auto"/>
      </w:divBdr>
    </w:div>
    <w:div w:id="15929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gora-energiewende.de/veroeffentlichungen/die-energiewende-in-deutschland-stand-der-dinge-202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9420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Brandl</dc:creator>
  <cp:keywords/>
  <dc:description/>
  <cp:lastModifiedBy>Volker Brandl</cp:lastModifiedBy>
  <cp:revision>5</cp:revision>
  <dcterms:created xsi:type="dcterms:W3CDTF">2023-02-12T19:47:00Z</dcterms:created>
  <dcterms:modified xsi:type="dcterms:W3CDTF">2023-02-12T19:56:00Z</dcterms:modified>
</cp:coreProperties>
</file>